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A1A18" w14:textId="2B34186B" w:rsidR="00411074" w:rsidRDefault="00D903A8" w:rsidP="00411074">
      <w:pPr>
        <w:pStyle w:val="BodyText"/>
      </w:pPr>
      <w:r>
        <w:t xml:space="preserve">Lisa 1. </w:t>
      </w:r>
      <w:r w:rsidR="00411074">
        <w:t>Ametitelt, asutustelt ja huvitatud isikutelt saadud ettepanekud ning nendega arvestamine/küsimustele vastamine</w:t>
      </w:r>
    </w:p>
    <w:tbl>
      <w:tblPr>
        <w:tblStyle w:val="TabelPunane"/>
        <w:tblW w:w="13044" w:type="dxa"/>
        <w:tblInd w:w="-6" w:type="dxa"/>
        <w:tblLook w:val="04A0" w:firstRow="1" w:lastRow="0" w:firstColumn="1" w:lastColumn="0" w:noHBand="0" w:noVBand="1"/>
      </w:tblPr>
      <w:tblGrid>
        <w:gridCol w:w="5673"/>
        <w:gridCol w:w="7371"/>
      </w:tblGrid>
      <w:tr w:rsidR="00946D92" w14:paraId="6BE3F145" w14:textId="77777777" w:rsidTr="0D24DF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37F7DB91" w14:textId="77777777" w:rsidR="00411074" w:rsidRPr="006C1C0B" w:rsidRDefault="00411074" w:rsidP="00785DAA">
            <w:pPr>
              <w:pStyle w:val="BodyText"/>
              <w:spacing w:before="96" w:after="96"/>
            </w:pPr>
            <w:r w:rsidRPr="006C1C0B">
              <w:t>Esitatud ettepanek / küsimus</w:t>
            </w:r>
          </w:p>
        </w:tc>
        <w:tc>
          <w:tcPr>
            <w:tcW w:w="7371" w:type="dxa"/>
          </w:tcPr>
          <w:p w14:paraId="3AAF2324" w14:textId="77777777" w:rsidR="00411074" w:rsidRPr="006C1C0B" w:rsidRDefault="00411074" w:rsidP="00785DAA">
            <w:pPr>
              <w:pStyle w:val="BodyText"/>
              <w:spacing w:before="96" w:after="96"/>
              <w:cnfStyle w:val="100000000000" w:firstRow="1" w:lastRow="0" w:firstColumn="0" w:lastColumn="0" w:oddVBand="0" w:evenVBand="0" w:oddHBand="0" w:evenHBand="0" w:firstRowFirstColumn="0" w:firstRowLastColumn="0" w:lastRowFirstColumn="0" w:lastRowLastColumn="0"/>
            </w:pPr>
            <w:r w:rsidRPr="006C1C0B">
              <w:t>Ettepanekuga arvestamine / vastus küsimusele</w:t>
            </w:r>
          </w:p>
        </w:tc>
      </w:tr>
      <w:tr w:rsidR="00411074" w14:paraId="34A67C2A" w14:textId="77777777" w:rsidTr="0D24D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4" w:type="dxa"/>
            <w:gridSpan w:val="2"/>
          </w:tcPr>
          <w:p w14:paraId="22ABD210" w14:textId="33323592" w:rsidR="00411074" w:rsidRPr="008B130D" w:rsidRDefault="006C10C4" w:rsidP="00785DAA">
            <w:pPr>
              <w:pStyle w:val="BodyText"/>
              <w:rPr>
                <w:b/>
                <w:bCs w:val="0"/>
              </w:rPr>
            </w:pPr>
            <w:r>
              <w:rPr>
                <w:b/>
              </w:rPr>
              <w:t>Kliimaministeerium (14.01.2025 nr 7-12/25/110-2)</w:t>
            </w:r>
          </w:p>
        </w:tc>
      </w:tr>
      <w:tr w:rsidR="00411074" w14:paraId="0D4D77AE" w14:textId="77777777" w:rsidTr="0D24DF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4" w:type="dxa"/>
            <w:gridSpan w:val="2"/>
          </w:tcPr>
          <w:p w14:paraId="71F6349E" w14:textId="0BBFF679" w:rsidR="00411074" w:rsidRPr="006C1C0B" w:rsidRDefault="00320938" w:rsidP="00785DAA">
            <w:pPr>
              <w:pStyle w:val="BodyText"/>
            </w:pPr>
            <w:r>
              <w:t>Kliimaministeerium tänas KMH menetlusse kaasamise eest, kuid märkis, et ei pea vajalikuks</w:t>
            </w:r>
            <w:r w:rsidR="00596000">
              <w:t xml:space="preserve"> KMH</w:t>
            </w:r>
            <w:r>
              <w:t xml:space="preserve"> menetluses asjaomase asutusena osaleda.</w:t>
            </w:r>
          </w:p>
        </w:tc>
      </w:tr>
      <w:tr w:rsidR="00411074" w14:paraId="24F8527E" w14:textId="77777777" w:rsidTr="0D24D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4" w:type="dxa"/>
            <w:gridSpan w:val="2"/>
          </w:tcPr>
          <w:p w14:paraId="6FF4FF70" w14:textId="5C8EF49C" w:rsidR="00411074" w:rsidRPr="008B130D" w:rsidRDefault="002802A2" w:rsidP="00785DAA">
            <w:pPr>
              <w:pStyle w:val="BodyText"/>
              <w:rPr>
                <w:b/>
                <w:bCs w:val="0"/>
              </w:rPr>
            </w:pPr>
            <w:r>
              <w:rPr>
                <w:b/>
              </w:rPr>
              <w:t>Terviseamet (24.01.2025 nr 9.3-4/25/205-2</w:t>
            </w:r>
            <w:r w:rsidR="00411074" w:rsidRPr="008B130D">
              <w:rPr>
                <w:b/>
              </w:rPr>
              <w:t>)</w:t>
            </w:r>
          </w:p>
        </w:tc>
      </w:tr>
      <w:tr w:rsidR="00F3494E" w14:paraId="0F4C9575" w14:textId="77777777" w:rsidTr="0D24DF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00735473" w14:textId="71B83EE5" w:rsidR="00F3494E" w:rsidRPr="00F3494E" w:rsidRDefault="00F3494E" w:rsidP="00785DAA">
            <w:pPr>
              <w:pStyle w:val="BodyText"/>
              <w:rPr>
                <w:bCs w:val="0"/>
              </w:rPr>
            </w:pPr>
            <w:r w:rsidRPr="00CE3536">
              <w:rPr>
                <w:bCs w:val="0"/>
              </w:rPr>
              <w:t>Amet on tutvunud Enefit Power AS Eesti elektrijaama tuhaväljaku laiendamise keskkonnamõju hindamise (edaspidi KMH) programmiga ning juhib tähelepanu,</w:t>
            </w:r>
            <w:r w:rsidRPr="00F3494E">
              <w:rPr>
                <w:bCs w:val="0"/>
              </w:rPr>
              <w:t xml:space="preserve"> et </w:t>
            </w:r>
            <w:bookmarkStart w:id="0" w:name="_Hlk192196360"/>
            <w:r w:rsidRPr="00F3494E">
              <w:rPr>
                <w:bCs w:val="0"/>
              </w:rPr>
              <w:t>Jäätmehoidla kinnistu lähedale jääva Koiduvalguse AÜ kinnistud (välispiiridest u 60 m kaugusel kagus) on koostamisel oleva Narva-Jõesuu linna üldplaneeringu kohaselt elamu maa-alad, kus tuleb tagada keskkonnaministri 16.12.2016 määruses nr 71 „Välisõhus leviva müra normtasemed ja mürataseme mõõtmise, määramise ja hindamise meetodid“ toodud II müra kategooria piirväärtused</w:t>
            </w:r>
            <w:bookmarkEnd w:id="0"/>
            <w:r w:rsidRPr="00F3494E">
              <w:rPr>
                <w:bCs w:val="0"/>
              </w:rPr>
              <w:t>, seega tuleks hinnata, kas planeeritavast tegevusest (sh tuhaväljal töötavad seadmed, masinad) tulenev müra ja vibratsioon võivad avaldada elamu maa-aladele ebasoodsat mõju.</w:t>
            </w:r>
          </w:p>
        </w:tc>
        <w:tc>
          <w:tcPr>
            <w:tcW w:w="7371" w:type="dxa"/>
          </w:tcPr>
          <w:p w14:paraId="4117C990" w14:textId="44671315" w:rsidR="005E4BE3" w:rsidRDefault="00D64CE5" w:rsidP="00785DAA">
            <w:pPr>
              <w:pStyle w:val="BodyText"/>
              <w:cnfStyle w:val="000000010000" w:firstRow="0" w:lastRow="0" w:firstColumn="0" w:lastColumn="0" w:oddVBand="0" w:evenVBand="0" w:oddHBand="0" w:evenHBand="1" w:firstRowFirstColumn="0" w:firstRowLastColumn="0" w:lastRowFirstColumn="0" w:lastRowLastColumn="0"/>
            </w:pPr>
            <w:r>
              <w:t>Täname tähelepanu juhtimast</w:t>
            </w:r>
            <w:r w:rsidR="009928CA">
              <w:t xml:space="preserve">. Oleme KMH programmis </w:t>
            </w:r>
            <w:proofErr w:type="spellStart"/>
            <w:r w:rsidR="00435F09">
              <w:t>ptk</w:t>
            </w:r>
            <w:proofErr w:type="spellEnd"/>
            <w:r w:rsidR="00435F09">
              <w:t xml:space="preserve"> 3.1 „Asustus ja maakasutus“ lähimate elamualade </w:t>
            </w:r>
            <w:r w:rsidR="00C80E2A">
              <w:t>kirjelduses</w:t>
            </w:r>
            <w:r w:rsidR="00435F09">
              <w:t xml:space="preserve"> välja toonud </w:t>
            </w:r>
            <w:r w:rsidR="00C80E2A">
              <w:t>Koiduvalguse AÜ</w:t>
            </w:r>
            <w:r w:rsidR="003C1511">
              <w:t xml:space="preserve"> paiknemise. </w:t>
            </w:r>
            <w:r w:rsidR="00C47ED8">
              <w:t xml:space="preserve">Selgitame, et </w:t>
            </w:r>
            <w:bookmarkStart w:id="1" w:name="_Hlk192196425"/>
            <w:r w:rsidR="005E4BE3">
              <w:t>a</w:t>
            </w:r>
            <w:r w:rsidR="005E4BE3" w:rsidRPr="005E4BE3">
              <w:t>ktiivse tegevuse alaga ei liiguta Koiduvalguse AÜ piirkonnale (</w:t>
            </w:r>
            <w:r w:rsidR="00A74929">
              <w:t>e</w:t>
            </w:r>
            <w:r w:rsidR="005E4BE3" w:rsidRPr="005E4BE3">
              <w:t xml:space="preserve">lamualadele) lähemale, seega ei ole põhjust eeldada müra ja vibratsiooni ebasoodsat mõju suurenemist võrreldes olemasoleva olukorraga. Juhul kui mõjude hindamise käigus tekib vajadus käsitleda kavandatava tegevuse tehnoloogilisi alternatiive, </w:t>
            </w:r>
            <w:r w:rsidR="00F73CAB">
              <w:t xml:space="preserve">siis </w:t>
            </w:r>
            <w:r w:rsidR="005E4BE3" w:rsidRPr="005E4BE3">
              <w:t>hinnatakse täiendavalt võimaliku müra mõju eelkõige Koiduvalguse AÜ piirkonnale.</w:t>
            </w:r>
          </w:p>
          <w:bookmarkEnd w:id="1"/>
          <w:p w14:paraId="637B6132" w14:textId="3638127A" w:rsidR="00F3494E" w:rsidRPr="006C1C0B" w:rsidRDefault="00F73CAB" w:rsidP="00785DAA">
            <w:pPr>
              <w:pStyle w:val="BodyText"/>
              <w:cnfStyle w:val="000000010000" w:firstRow="0" w:lastRow="0" w:firstColumn="0" w:lastColumn="0" w:oddVBand="0" w:evenVBand="0" w:oddHBand="0" w:evenHBand="1" w:firstRowFirstColumn="0" w:firstRowLastColumn="0" w:lastRowFirstColumn="0" w:lastRowLastColumn="0"/>
            </w:pPr>
            <w:r>
              <w:t xml:space="preserve">Lisame tingimusliku hindamise ka </w:t>
            </w:r>
            <w:proofErr w:type="spellStart"/>
            <w:r>
              <w:t>ptk</w:t>
            </w:r>
            <w:proofErr w:type="spellEnd"/>
            <w:r>
              <w:t xml:space="preserve"> 5 müra ja vibratsiooni mõjude </w:t>
            </w:r>
            <w:r w:rsidR="0090793C">
              <w:t xml:space="preserve">käsitlemisse (mõjuvaldkonnad, mida täpsemalt ei </w:t>
            </w:r>
            <w:r w:rsidR="00AF3FC5">
              <w:t>käsitleta</w:t>
            </w:r>
            <w:r w:rsidR="001A415C" w:rsidRPr="001A415C">
              <w:rPr>
                <w:rFonts w:eastAsiaTheme="minorHAnsi"/>
                <w14:ligatures w14:val="standardContextual"/>
              </w:rPr>
              <w:t xml:space="preserve"> </w:t>
            </w:r>
            <w:bookmarkStart w:id="2" w:name="_Hlk192197099"/>
            <w:r w:rsidR="001A415C" w:rsidRPr="001A415C">
              <w:t xml:space="preserve">või käsitletakse üksnes tingimusel, kui need osutuvad vajalikuks lähtuvalt hindamise tulemusel tekkivatest täiendavatest </w:t>
            </w:r>
            <w:r w:rsidR="002D6989">
              <w:t xml:space="preserve">alternatiividest, mille puhul vastav mõjuvaldkond </w:t>
            </w:r>
            <w:r w:rsidR="00375E86">
              <w:t>on</w:t>
            </w:r>
            <w:r w:rsidR="002D6989">
              <w:t xml:space="preserve"> asjakohane</w:t>
            </w:r>
            <w:bookmarkEnd w:id="2"/>
            <w:r w:rsidR="00DB385E">
              <w:t xml:space="preserve">). </w:t>
            </w:r>
          </w:p>
        </w:tc>
      </w:tr>
      <w:tr w:rsidR="00850B71" w14:paraId="6020ADCC" w14:textId="77777777" w:rsidTr="0D24D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4" w:type="dxa"/>
            <w:gridSpan w:val="2"/>
          </w:tcPr>
          <w:p w14:paraId="4A0FEDC0" w14:textId="7F21502B" w:rsidR="00850B71" w:rsidRPr="006C1C0B" w:rsidRDefault="00850B71" w:rsidP="00785DAA">
            <w:pPr>
              <w:pStyle w:val="BodyText"/>
            </w:pPr>
            <w:r>
              <w:rPr>
                <w:b/>
              </w:rPr>
              <w:t>Maa- ja Ruumiamet (03.02.2025 nr 6-3/25/428-2)</w:t>
            </w:r>
          </w:p>
        </w:tc>
      </w:tr>
      <w:tr w:rsidR="0053221F" w14:paraId="11369DD8" w14:textId="77777777" w:rsidTr="0D24DF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3023C357" w14:textId="77777777" w:rsidR="0053221F" w:rsidRPr="006C1C0B" w:rsidRDefault="0053221F" w:rsidP="0053221F">
            <w:pPr>
              <w:pStyle w:val="BodyText"/>
              <w:jc w:val="left"/>
              <w:rPr>
                <w:bCs w:val="0"/>
              </w:rPr>
            </w:pPr>
            <w:r w:rsidRPr="00AA1DFF">
              <w:t>Juhime tähelepanu, et tuhaväljale põlevkivituha ladestamise käigus ei tohi Jäätmehoidla kinnistut läbivasse eesvoolu kraavi sattuda vee voolu takistavaid jäätmeid. Lisaks tuleb tagada maaparandusehitiste ja -</w:t>
            </w:r>
            <w:r w:rsidRPr="00AA1DFF">
              <w:lastRenderedPageBreak/>
              <w:t>rajatiste korrashoid ning toimimisvõime ning vältida tuhaga kokku puutunud vee sattumist eesvoolu kraavi.</w:t>
            </w:r>
          </w:p>
        </w:tc>
        <w:tc>
          <w:tcPr>
            <w:tcW w:w="7371" w:type="dxa"/>
          </w:tcPr>
          <w:p w14:paraId="248EB15A" w14:textId="45C44434" w:rsidR="0053221F" w:rsidRPr="006C1C0B" w:rsidRDefault="0053221F" w:rsidP="0053221F">
            <w:pPr>
              <w:pStyle w:val="BodyText"/>
              <w:jc w:val="left"/>
              <w:cnfStyle w:val="000000010000" w:firstRow="0" w:lastRow="0" w:firstColumn="0" w:lastColumn="0" w:oddVBand="0" w:evenVBand="0" w:oddHBand="0" w:evenHBand="1" w:firstRowFirstColumn="0" w:firstRowLastColumn="0" w:lastRowFirstColumn="0" w:lastRowLastColumn="0"/>
            </w:pPr>
            <w:r>
              <w:lastRenderedPageBreak/>
              <w:t xml:space="preserve">Täname tähelepanu juhtimast. </w:t>
            </w:r>
            <w:r w:rsidR="004009F2">
              <w:t>Märgitud nõuetega arvesta</w:t>
            </w:r>
            <w:r w:rsidR="002A080F">
              <w:t>ta</w:t>
            </w:r>
            <w:r w:rsidR="004009F2">
              <w:t xml:space="preserve">kse </w:t>
            </w:r>
            <w:r w:rsidR="002A080F">
              <w:t>aruande etapis</w:t>
            </w:r>
            <w:r w:rsidR="0044492E">
              <w:t xml:space="preserve"> tegevuse</w:t>
            </w:r>
            <w:r w:rsidR="002A080F">
              <w:t xml:space="preserve"> </w:t>
            </w:r>
            <w:r w:rsidR="0044492E">
              <w:t>keskkonna</w:t>
            </w:r>
            <w:r w:rsidR="00EB285F">
              <w:t>kaitse</w:t>
            </w:r>
            <w:r w:rsidR="0044492E">
              <w:t>meetmete seadmisel.</w:t>
            </w:r>
            <w:r w:rsidR="00FB1A3F">
              <w:t xml:space="preserve"> KMH programm täiendamist ei vaja. </w:t>
            </w:r>
          </w:p>
        </w:tc>
      </w:tr>
      <w:tr w:rsidR="006F4C3A" w14:paraId="1744A5F2" w14:textId="77777777" w:rsidTr="0D24D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4" w:type="dxa"/>
            <w:gridSpan w:val="2"/>
          </w:tcPr>
          <w:p w14:paraId="23C6A8C0" w14:textId="49C4B199" w:rsidR="006F4C3A" w:rsidRPr="00AA1DFF" w:rsidRDefault="006F4C3A" w:rsidP="0053221F">
            <w:pPr>
              <w:pStyle w:val="BodyText"/>
            </w:pPr>
            <w:r w:rsidRPr="00850B71">
              <w:t>Arvestades eeltoodut ning lähtudes Enefit Power AS Eesti elektrijaama tuhaväljaku</w:t>
            </w:r>
            <w:r>
              <w:t xml:space="preserve"> </w:t>
            </w:r>
            <w:r w:rsidRPr="00850B71">
              <w:t>laiendamise keskkonnamõju hindamise aruandes toodust</w:t>
            </w:r>
            <w:r>
              <w:t>,</w:t>
            </w:r>
            <w:r w:rsidRPr="00850B71">
              <w:t xml:space="preserve"> puuduvad Maa- ja Ruumiametil</w:t>
            </w:r>
            <w:r>
              <w:t xml:space="preserve"> </w:t>
            </w:r>
            <w:r w:rsidRPr="00850B71">
              <w:t>täiendavad ettepanekud Enefit Power AS Eesti elektrijaama tuhaväljaku laiendamise</w:t>
            </w:r>
            <w:r>
              <w:t xml:space="preserve"> </w:t>
            </w:r>
            <w:r w:rsidRPr="00850B71">
              <w:t>keskkonnamõju hindamise aruande kohta.</w:t>
            </w:r>
          </w:p>
        </w:tc>
      </w:tr>
      <w:tr w:rsidR="0053221F" w14:paraId="5A589516" w14:textId="77777777" w:rsidTr="0D24DF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4" w:type="dxa"/>
            <w:gridSpan w:val="2"/>
          </w:tcPr>
          <w:p w14:paraId="4D1283D6" w14:textId="2683435E" w:rsidR="0053221F" w:rsidRPr="006C1C0B" w:rsidRDefault="0053221F" w:rsidP="0053221F">
            <w:pPr>
              <w:pStyle w:val="BodyText"/>
              <w:jc w:val="left"/>
            </w:pPr>
            <w:r>
              <w:rPr>
                <w:b/>
                <w:bCs w:val="0"/>
              </w:rPr>
              <w:t>Keskkonnaamet (03.02.2025 nr 6-3/24/26002-7)</w:t>
            </w:r>
          </w:p>
        </w:tc>
      </w:tr>
      <w:tr w:rsidR="0053221F" w14:paraId="0B5C9299" w14:textId="77777777" w:rsidTr="0D24D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48308454" w14:textId="35659AFB" w:rsidR="0053221F" w:rsidRDefault="0053221F" w:rsidP="0053221F">
            <w:pPr>
              <w:pStyle w:val="BodyText"/>
              <w:rPr>
                <w:bCs w:val="0"/>
              </w:rPr>
            </w:pPr>
            <w:r>
              <w:t xml:space="preserve">1. </w:t>
            </w:r>
            <w:r w:rsidRPr="009245FA">
              <w:t xml:space="preserve">KMH programmis on toodud, et alternatiiv nr 1 näeb ette EEJ tuhaväljaku laiendamist ja ladestusmahu suurendamist 403 mln tonnini ja tuhaladestu kõrguse suurendamist 140 </w:t>
            </w:r>
            <w:proofErr w:type="spellStart"/>
            <w:r w:rsidRPr="009245FA">
              <w:t>abs</w:t>
            </w:r>
            <w:proofErr w:type="spellEnd"/>
            <w:r w:rsidRPr="009245FA">
              <w:t xml:space="preserve"> meetri kõrguseni. Märgime, et Kaitseministeerium on olnud seisukohal</w:t>
            </w:r>
            <w:r>
              <w:rPr>
                <w:rStyle w:val="FootnoteReference"/>
              </w:rPr>
              <w:footnoteReference w:id="2"/>
            </w:r>
            <w:r w:rsidRPr="009245FA">
              <w:t>, et EEJ tuhavälja tuhaladestu kõrguse suurendamine ei ole võimalik, kuna see vähendaks oluliselt riigikaitseliste ehitiste töövõimet ning on palunud ühe alternatiivina kaaluda tuhaladestu laiendamist ida ja/või lääne suunas ilma selle kõrgust suurendamata.</w:t>
            </w:r>
          </w:p>
          <w:p w14:paraId="135C5FDC" w14:textId="26BFEB6C" w:rsidR="0053221F" w:rsidRPr="006C1C0B" w:rsidRDefault="0053221F" w:rsidP="0053221F">
            <w:pPr>
              <w:pStyle w:val="BodyText"/>
            </w:pPr>
            <w:r w:rsidRPr="009245FA">
              <w:t>Eelnevast lähtuvalt palume tutvuda Kaitseministeeriumi kirja sisuga ja teha vastavad parandused alternatiivide osas, sest vajalik on kaaluda ka alternatiivi, millega liigutakse tuhaladestu laiendamise suunas.</w:t>
            </w:r>
          </w:p>
        </w:tc>
        <w:tc>
          <w:tcPr>
            <w:tcW w:w="7371" w:type="dxa"/>
          </w:tcPr>
          <w:p w14:paraId="7E803625" w14:textId="18ABEEF0" w:rsidR="00B5162B" w:rsidRDefault="00B5162B" w:rsidP="0053221F">
            <w:pPr>
              <w:pStyle w:val="BodyText"/>
              <w:cnfStyle w:val="000000100000" w:firstRow="0" w:lastRow="0" w:firstColumn="0" w:lastColumn="0" w:oddVBand="0" w:evenVBand="0" w:oddHBand="1" w:evenHBand="0" w:firstRowFirstColumn="0" w:firstRowLastColumn="0" w:lastRowFirstColumn="0" w:lastRowLastColumn="0"/>
            </w:pPr>
            <w:r>
              <w:t xml:space="preserve">Ettepanekuga arvestatakse. KMH programmi </w:t>
            </w:r>
            <w:r w:rsidR="0007332F">
              <w:t xml:space="preserve">alternatiiv nr 2 </w:t>
            </w:r>
            <w:r>
              <w:t>täiendatakse</w:t>
            </w:r>
            <w:r w:rsidR="0007332F">
              <w:t xml:space="preserve"> </w:t>
            </w:r>
            <w:r w:rsidR="00CB2DF5">
              <w:t xml:space="preserve">(viidatakse, et vähendatud ladestusmahuga võib kaasneda ka ladestu kõrguse vähenemine) </w:t>
            </w:r>
            <w:r w:rsidR="0018658C">
              <w:t xml:space="preserve">ja </w:t>
            </w:r>
            <w:r w:rsidR="009C74D8">
              <w:t>lisatakse alternatiiv nr 3</w:t>
            </w:r>
            <w:r w:rsidR="00CB2DF5">
              <w:t xml:space="preserve"> (</w:t>
            </w:r>
            <w:r w:rsidR="002029F4">
              <w:t>tuhaväljaku pindala laiendamine olemasoleva katastriüksuse piirides</w:t>
            </w:r>
            <w:r w:rsidR="002F7682">
              <w:t>, eeldatavalt settebasseinide arvelt</w:t>
            </w:r>
            <w:r w:rsidR="0007332F">
              <w:t>)</w:t>
            </w:r>
            <w:r w:rsidR="00CB2DF5">
              <w:t>.</w:t>
            </w:r>
          </w:p>
          <w:p w14:paraId="7D5EC37B" w14:textId="4B445B5E" w:rsidR="0053221F" w:rsidRPr="009849DB" w:rsidRDefault="005A1A26" w:rsidP="00B51197">
            <w:pPr>
              <w:pStyle w:val="BodyText"/>
              <w:cnfStyle w:val="000000100000" w:firstRow="0" w:lastRow="0" w:firstColumn="0" w:lastColumn="0" w:oddVBand="0" w:evenVBand="0" w:oddHBand="1" w:evenHBand="0" w:firstRowFirstColumn="0" w:firstRowLastColumn="0" w:lastRowFirstColumn="0" w:lastRowLastColumn="0"/>
            </w:pPr>
            <w:r>
              <w:t>KMH programmi</w:t>
            </w:r>
            <w:r w:rsidR="001114F1">
              <w:t xml:space="preserve"> eelnõu</w:t>
            </w:r>
            <w:r>
              <w:t>s</w:t>
            </w:r>
            <w:r w:rsidR="006904CD">
              <w:t xml:space="preserve"> on</w:t>
            </w:r>
            <w:r>
              <w:t xml:space="preserve"> toodud alternatiiv 2</w:t>
            </w:r>
            <w:r w:rsidR="006904CD">
              <w:t xml:space="preserve">, mille hulka kuuluvad sellised </w:t>
            </w:r>
            <w:r w:rsidR="00AB729C">
              <w:t>tegevuse variandid, mis tulenevad</w:t>
            </w:r>
            <w:r w:rsidR="00966D80" w:rsidRPr="00966D80">
              <w:t xml:space="preserve"> </w:t>
            </w:r>
            <w:r w:rsidR="00AB729C">
              <w:t xml:space="preserve">tehnoloogilistest </w:t>
            </w:r>
            <w:r w:rsidR="00966D80" w:rsidRPr="00966D80">
              <w:t>muudatuste</w:t>
            </w:r>
            <w:r w:rsidR="00AB729C">
              <w:t>st ladestamisel</w:t>
            </w:r>
            <w:r w:rsidR="00966D80" w:rsidRPr="00966D80">
              <w:t xml:space="preserve"> või vähendatud ladestusmahtude sisseviimi</w:t>
            </w:r>
            <w:r w:rsidR="00AB729C">
              <w:t>sest</w:t>
            </w:r>
            <w:r w:rsidR="009E33E3">
              <w:t>;</w:t>
            </w:r>
            <w:r w:rsidR="009E33E3" w:rsidRPr="00966D80">
              <w:t xml:space="preserve"> </w:t>
            </w:r>
            <w:r w:rsidR="009E33E3">
              <w:t>a</w:t>
            </w:r>
            <w:r w:rsidR="009E33E3" w:rsidRPr="00966D80">
              <w:t>lternatiiv 2</w:t>
            </w:r>
            <w:r w:rsidR="009E33E3">
              <w:t xml:space="preserve"> </w:t>
            </w:r>
            <w:r w:rsidR="009E33E3" w:rsidRPr="00966D80">
              <w:t>rakendub, kui mõjude hindamisel ilmnevad alternatiiv 1</w:t>
            </w:r>
            <w:r w:rsidR="009E33E3">
              <w:t xml:space="preserve"> </w:t>
            </w:r>
            <w:r w:rsidR="009E33E3" w:rsidRPr="00966D80">
              <w:t>korral olulised negatiivsed mõjud või takistused</w:t>
            </w:r>
            <w:r w:rsidR="00AB729C" w:rsidRPr="009849DB">
              <w:t>.</w:t>
            </w:r>
            <w:r w:rsidR="009E33E3" w:rsidRPr="009849DB">
              <w:t xml:space="preserve"> </w:t>
            </w:r>
            <w:r w:rsidR="00E24A1B" w:rsidRPr="009849DB">
              <w:t xml:space="preserve">Alternatiiv 3 </w:t>
            </w:r>
            <w:r w:rsidR="000F706E" w:rsidRPr="009849DB">
              <w:t>puhu</w:t>
            </w:r>
            <w:r w:rsidR="00E24A1B" w:rsidRPr="009849DB">
              <w:t>l kasutatakse sa</w:t>
            </w:r>
            <w:r w:rsidR="009C3CB3" w:rsidRPr="009849DB">
              <w:t>rnast</w:t>
            </w:r>
            <w:r w:rsidR="00E24A1B" w:rsidRPr="009849DB">
              <w:t xml:space="preserve"> </w:t>
            </w:r>
            <w:r w:rsidR="000F706E" w:rsidRPr="009849DB">
              <w:t>sõnastust</w:t>
            </w:r>
            <w:r w:rsidR="00EB0775" w:rsidRPr="009849DB">
              <w:t>, viidates</w:t>
            </w:r>
            <w:r w:rsidR="008B3FDF" w:rsidRPr="009849DB">
              <w:t xml:space="preserve"> täiendavalt „</w:t>
            </w:r>
            <w:r w:rsidR="00966D80" w:rsidRPr="009849DB">
              <w:t xml:space="preserve">mida saaks </w:t>
            </w:r>
            <w:r w:rsidR="00806342" w:rsidRPr="009849DB">
              <w:t>ladestus</w:t>
            </w:r>
            <w:r w:rsidR="00104BE9" w:rsidRPr="009849DB">
              <w:t>ala pindala laiendamisega</w:t>
            </w:r>
            <w:r w:rsidR="00966D80" w:rsidRPr="009849DB">
              <w:t xml:space="preserve"> leevendada</w:t>
            </w:r>
            <w:r w:rsidR="008B3FDF" w:rsidRPr="009849DB">
              <w:t>“</w:t>
            </w:r>
            <w:r w:rsidR="00966D80" w:rsidRPr="009849DB">
              <w:t xml:space="preserve">. </w:t>
            </w:r>
          </w:p>
          <w:p w14:paraId="03F5B103" w14:textId="73BE99B2" w:rsidR="00104BE9" w:rsidRDefault="00104BE9" w:rsidP="00B51197">
            <w:pPr>
              <w:pStyle w:val="BodyText"/>
              <w:cnfStyle w:val="000000100000" w:firstRow="0" w:lastRow="0" w:firstColumn="0" w:lastColumn="0" w:oddVBand="0" w:evenVBand="0" w:oddHBand="1" w:evenHBand="0" w:firstRowFirstColumn="0" w:firstRowLastColumn="0" w:lastRowFirstColumn="0" w:lastRowLastColumn="0"/>
            </w:pPr>
            <w:r w:rsidRPr="009849DB">
              <w:t>Täpne alternatiivi</w:t>
            </w:r>
            <w:r w:rsidR="007B2573" w:rsidRPr="009849DB">
              <w:t>de</w:t>
            </w:r>
            <w:r w:rsidRPr="009849DB">
              <w:t xml:space="preserve"> sõnastus tuuakse välja täiendatud KMH programmis.</w:t>
            </w:r>
            <w:r w:rsidR="00012777" w:rsidRPr="009849DB">
              <w:t xml:space="preserve"> </w:t>
            </w:r>
            <w:r w:rsidR="0092639B" w:rsidRPr="009849DB">
              <w:t xml:space="preserve">Hetkel toimub EE strateegia uuendamine ning selle käigus täpsustatakse üle Enefit Poweri </w:t>
            </w:r>
            <w:r w:rsidR="00B6309D" w:rsidRPr="009849DB">
              <w:t>tootmismahud ja sellest tulenev põlevkivi kasutamine</w:t>
            </w:r>
            <w:r w:rsidR="00BD4CF5" w:rsidRPr="009849DB">
              <w:t xml:space="preserve">. </w:t>
            </w:r>
            <w:r w:rsidR="00BB4E32" w:rsidRPr="009849DB">
              <w:t>Se</w:t>
            </w:r>
            <w:r w:rsidR="0092639B" w:rsidRPr="009849DB">
              <w:t>ll</w:t>
            </w:r>
            <w:r w:rsidR="00BB4E32" w:rsidRPr="009849DB">
              <w:t>e</w:t>
            </w:r>
            <w:r w:rsidR="0092639B" w:rsidRPr="009849DB">
              <w:t xml:space="preserve"> protsessi tulemus </w:t>
            </w:r>
            <w:r w:rsidR="00BB4E32" w:rsidRPr="009849DB">
              <w:t>või</w:t>
            </w:r>
            <w:r w:rsidR="00782853" w:rsidRPr="009849DB">
              <w:t>maldab ka</w:t>
            </w:r>
            <w:r w:rsidR="00775D8A" w:rsidRPr="009849DB">
              <w:t xml:space="preserve"> täpsemalt</w:t>
            </w:r>
            <w:r w:rsidR="00782853" w:rsidRPr="009849DB">
              <w:t xml:space="preserve"> prognoosida, mi</w:t>
            </w:r>
            <w:r w:rsidR="00775D8A" w:rsidRPr="009849DB">
              <w:t>lliseks kujuneb ladestatava tuha maht</w:t>
            </w:r>
            <w:r w:rsidR="0092639B" w:rsidRPr="009849DB">
              <w:t xml:space="preserve"> nii</w:t>
            </w:r>
            <w:r w:rsidR="00775D8A" w:rsidRPr="009849DB">
              <w:t xml:space="preserve"> </w:t>
            </w:r>
            <w:r w:rsidR="00C44BFD" w:rsidRPr="009849DB">
              <w:t xml:space="preserve">Alt 2 </w:t>
            </w:r>
            <w:r w:rsidR="002E426C" w:rsidRPr="009849DB">
              <w:t>kui</w:t>
            </w:r>
            <w:r w:rsidR="00C44BFD" w:rsidRPr="009849DB">
              <w:t xml:space="preserve"> Alt 3 puhul.</w:t>
            </w:r>
            <w:r w:rsidR="00B6309D">
              <w:t xml:space="preserve">  </w:t>
            </w:r>
          </w:p>
          <w:p w14:paraId="59D63FDB" w14:textId="3CBA4725" w:rsidR="0053221F" w:rsidRPr="008B2159" w:rsidRDefault="0060586F" w:rsidP="0053221F">
            <w:pPr>
              <w:pStyle w:val="BodyText"/>
              <w:cnfStyle w:val="000000100000" w:firstRow="0" w:lastRow="0" w:firstColumn="0" w:lastColumn="0" w:oddVBand="0" w:evenVBand="0" w:oddHBand="1" w:evenHBand="0" w:firstRowFirstColumn="0" w:firstRowLastColumn="0" w:lastRowFirstColumn="0" w:lastRowLastColumn="0"/>
            </w:pPr>
            <w:r>
              <w:t>Märgime</w:t>
            </w:r>
            <w:r w:rsidR="00F51609">
              <w:t xml:space="preserve">, et viidatud Kaitseministeeriumi kiri, mis on </w:t>
            </w:r>
            <w:r w:rsidR="00F51609" w:rsidRPr="00F51609">
              <w:t>Keskkonnaotsuste Infosüsteem</w:t>
            </w:r>
            <w:r w:rsidR="00F51609">
              <w:t>is</w:t>
            </w:r>
            <w:r w:rsidR="00F51609" w:rsidRPr="00F51609">
              <w:t xml:space="preserve"> KOTKAS</w:t>
            </w:r>
            <w:r w:rsidR="00F51609">
              <w:t xml:space="preserve"> registreeritud</w:t>
            </w:r>
            <w:r w:rsidR="00F51609" w:rsidRPr="00F51609">
              <w:t xml:space="preserve"> 09.09.2024 nr DM-127336-10</w:t>
            </w:r>
            <w:r w:rsidR="00F51609">
              <w:t xml:space="preserve"> ei ole avalikult kättesaadav</w:t>
            </w:r>
            <w:r w:rsidR="00661405">
              <w:t xml:space="preserve"> (märkega asutusesiseseks kasutamiseks)</w:t>
            </w:r>
            <w:r w:rsidR="00DB06C7">
              <w:t xml:space="preserve">, samuti ei </w:t>
            </w:r>
            <w:r w:rsidR="00826C2C">
              <w:lastRenderedPageBreak/>
              <w:t>ole</w:t>
            </w:r>
            <w:r w:rsidR="00DB06C7">
              <w:t xml:space="preserve"> </w:t>
            </w:r>
            <w:r w:rsidR="00826C2C">
              <w:t>avalikud selle</w:t>
            </w:r>
            <w:r w:rsidR="0092639B">
              <w:t xml:space="preserve"> </w:t>
            </w:r>
            <w:r w:rsidR="00826C2C">
              <w:t xml:space="preserve">teemalised </w:t>
            </w:r>
            <w:r w:rsidR="008B2159">
              <w:t>koosolekud jms</w:t>
            </w:r>
            <w:r w:rsidR="00062C03">
              <w:t xml:space="preserve">. </w:t>
            </w:r>
            <w:r w:rsidR="00DB06C7">
              <w:t xml:space="preserve">Kas ja milliseks kujuneb olemasoleva ladestu kõrguspiirang selgub arendaja ja Kaitseministeeriumi vahelistes </w:t>
            </w:r>
            <w:r w:rsidR="008B2159">
              <w:t xml:space="preserve">aruteludes. Tulemusega arvestatakse KMH läbiviimisel. </w:t>
            </w:r>
          </w:p>
        </w:tc>
      </w:tr>
      <w:tr w:rsidR="0053221F" w14:paraId="3CFF3F06" w14:textId="77777777" w:rsidTr="0D24DF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7970A97B" w14:textId="1800756F" w:rsidR="0053221F" w:rsidRPr="006C1C0B" w:rsidRDefault="0053221F" w:rsidP="0053221F">
            <w:pPr>
              <w:pStyle w:val="BodyText"/>
            </w:pPr>
            <w:r>
              <w:lastRenderedPageBreak/>
              <w:t xml:space="preserve">2. </w:t>
            </w:r>
            <w:r w:rsidRPr="009245FA">
              <w:t xml:space="preserve">Programmis on toodud järgmist (lk 7 ja lk 18) „…ehk keskkonnaloaga sätestatud limiiti…“ ja „…keskkonnalubades sätestatud…(jutt käib prügilate lubadest)“. Palume kasutada </w:t>
            </w:r>
            <w:proofErr w:type="spellStart"/>
            <w:r w:rsidRPr="009245FA">
              <w:t>üldmõistena</w:t>
            </w:r>
            <w:proofErr w:type="spellEnd"/>
            <w:r w:rsidRPr="009245FA">
              <w:t xml:space="preserve"> „keskkonnakaitseloaga“ või kui on mõeldud Enefit Power AS keskkonnakomplekslube (sh prügilate käitamisel), siis parandada mõiste kasutust vastavalt.</w:t>
            </w:r>
          </w:p>
        </w:tc>
        <w:tc>
          <w:tcPr>
            <w:tcW w:w="7371" w:type="dxa"/>
          </w:tcPr>
          <w:p w14:paraId="7222D2D6" w14:textId="20295EA8" w:rsidR="0053221F" w:rsidRPr="006C1C0B" w:rsidRDefault="003D3D56" w:rsidP="0053221F">
            <w:pPr>
              <w:pStyle w:val="BodyText"/>
              <w:cnfStyle w:val="000000010000" w:firstRow="0" w:lastRow="0" w:firstColumn="0" w:lastColumn="0" w:oddVBand="0" w:evenVBand="0" w:oddHBand="0" w:evenHBand="1" w:firstRowFirstColumn="0" w:firstRowLastColumn="0" w:lastRowFirstColumn="0" w:lastRowLastColumn="0"/>
            </w:pPr>
            <w:r>
              <w:t xml:space="preserve">Ettepanekuga arvestatakse, vastavad parandused viiakse sisse. </w:t>
            </w:r>
          </w:p>
        </w:tc>
      </w:tr>
      <w:tr w:rsidR="0053221F" w14:paraId="1CAA92F4" w14:textId="77777777" w:rsidTr="0D24D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27219695" w14:textId="27B07AB9" w:rsidR="0053221F" w:rsidRPr="006C1C0B" w:rsidRDefault="0053221F" w:rsidP="0053221F">
            <w:pPr>
              <w:pStyle w:val="BodyText"/>
            </w:pPr>
            <w:r>
              <w:t xml:space="preserve">3. </w:t>
            </w:r>
            <w:r w:rsidRPr="00DB79D4">
              <w:t xml:space="preserve">Alternatiiv 1 (lk 9) all on toodud järgmist: „…kõigile keskkonnanõuetele vastavat ladestusmetoodikat…“. Märgime, et antud väide ei ole siinkohal ära põhjendatud. Vaieldav on nt </w:t>
            </w:r>
            <w:proofErr w:type="spellStart"/>
            <w:r w:rsidRPr="00DB79D4">
              <w:t>hüdrotranspordi</w:t>
            </w:r>
            <w:proofErr w:type="spellEnd"/>
            <w:r w:rsidRPr="00DB79D4">
              <w:t xml:space="preserve"> läbinud tuha taaskasutusvõimalused. Palume ümber sõnastada.</w:t>
            </w:r>
          </w:p>
        </w:tc>
        <w:tc>
          <w:tcPr>
            <w:tcW w:w="7371" w:type="dxa"/>
          </w:tcPr>
          <w:p w14:paraId="674ED83A" w14:textId="3E38ADFE" w:rsidR="0053221F" w:rsidRDefault="002706A7" w:rsidP="0053221F">
            <w:pPr>
              <w:pStyle w:val="BodyText"/>
              <w:cnfStyle w:val="000000100000" w:firstRow="0" w:lastRow="0" w:firstColumn="0" w:lastColumn="0" w:oddVBand="0" w:evenVBand="0" w:oddHBand="1" w:evenHBand="0" w:firstRowFirstColumn="0" w:firstRowLastColumn="0" w:lastRowFirstColumn="0" w:lastRowLastColumn="0"/>
            </w:pPr>
            <w:r>
              <w:t xml:space="preserve">Ettepanekuga arvestatakse. </w:t>
            </w:r>
            <w:r w:rsidR="00E36F1B">
              <w:t>K</w:t>
            </w:r>
            <w:r w:rsidR="00F74D89">
              <w:t>avandatav</w:t>
            </w:r>
            <w:r w:rsidR="00E36F1B">
              <w:t xml:space="preserve"> tegevus </w:t>
            </w:r>
            <w:r w:rsidR="00F74D89">
              <w:t xml:space="preserve">(ladestamine, sh </w:t>
            </w:r>
            <w:proofErr w:type="spellStart"/>
            <w:r w:rsidR="00F74D89">
              <w:t>hüdrotransport</w:t>
            </w:r>
            <w:proofErr w:type="spellEnd"/>
            <w:r w:rsidR="00F74D89">
              <w:t xml:space="preserve">) </w:t>
            </w:r>
            <w:r w:rsidR="00E36F1B">
              <w:t xml:space="preserve">toimub Keskkonnaameti poolt väljastatud keskkonnakaitseloa nr </w:t>
            </w:r>
            <w:r w:rsidR="00E36F1B" w:rsidRPr="00E36F1B">
              <w:t>L.KKL.IV-172516</w:t>
            </w:r>
            <w:r w:rsidR="00D165F8">
              <w:t xml:space="preserve"> alusel, st </w:t>
            </w:r>
            <w:r w:rsidR="00EB1354">
              <w:t>lubatud meetodil</w:t>
            </w:r>
            <w:r w:rsidR="002E426C">
              <w:t>.</w:t>
            </w:r>
            <w:r w:rsidR="00EB1354">
              <w:t xml:space="preserve"> </w:t>
            </w:r>
            <w:r w:rsidR="002E426C">
              <w:t>K</w:t>
            </w:r>
            <w:r w:rsidR="00EB1354">
              <w:t>orrigeeritakse sõnastust selliselt, et kasutatakse</w:t>
            </w:r>
            <w:r w:rsidR="00BD24F4">
              <w:t xml:space="preserve"> kehtiva</w:t>
            </w:r>
            <w:r w:rsidR="00EB1354">
              <w:t xml:space="preserve"> keskkonnakaitseloaga lubatud </w:t>
            </w:r>
            <w:r w:rsidR="00BD24F4" w:rsidRPr="00BD24F4">
              <w:t>ladestusmetoodikat ja -tehnoloogiat</w:t>
            </w:r>
            <w:r w:rsidR="00BD24F4">
              <w:t>.</w:t>
            </w:r>
          </w:p>
          <w:p w14:paraId="4E9A9DF5" w14:textId="6A969092" w:rsidR="0092639B" w:rsidRPr="006C1C0B" w:rsidRDefault="0092639B" w:rsidP="0053221F">
            <w:pPr>
              <w:pStyle w:val="BodyText"/>
              <w:cnfStyle w:val="000000100000" w:firstRow="0" w:lastRow="0" w:firstColumn="0" w:lastColumn="0" w:oddVBand="0" w:evenVBand="0" w:oddHBand="1" w:evenHBand="0" w:firstRowFirstColumn="0" w:firstRowLastColumn="0" w:lastRowFirstColumn="0" w:lastRowLastColumn="0"/>
            </w:pPr>
            <w:r>
              <w:t xml:space="preserve">Lisaks tuleb märkida, et </w:t>
            </w:r>
            <w:proofErr w:type="spellStart"/>
            <w:r>
              <w:t>hüdrotransporti</w:t>
            </w:r>
            <w:proofErr w:type="spellEnd"/>
            <w:r>
              <w:t xml:space="preserve"> läbinud tuha taaskasutus ei ole välistatud. Senini on otsitud lahendusi peamiselt põletusportsessis tekkivale kuivale tuhale, mis ei ole veel veega kokku puutunud, kuid konkreetse alternatiivse lahendusena on juba täna olemas R</w:t>
            </w:r>
            <w:r w:rsidR="002E426C">
              <w:t>-</w:t>
            </w:r>
            <w:r>
              <w:t xml:space="preserve">S OSA </w:t>
            </w:r>
            <w:r w:rsidR="002E426C">
              <w:t xml:space="preserve">Service OÜ </w:t>
            </w:r>
            <w:r>
              <w:t xml:space="preserve">poolt arendatav põlevkivituha kui tooraine taaskasutuse meetod. Ja </w:t>
            </w:r>
            <w:r w:rsidR="002E426C">
              <w:t>tõenäoliselt</w:t>
            </w:r>
            <w:r>
              <w:t xml:space="preserve"> tuvastatakse selliseid lahendusi tulevikus veelgi. </w:t>
            </w:r>
          </w:p>
        </w:tc>
      </w:tr>
      <w:tr w:rsidR="0053221F" w14:paraId="6B4E2A29" w14:textId="77777777" w:rsidTr="0D24DF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56D4510A" w14:textId="1AE0CAF8" w:rsidR="0053221F" w:rsidRPr="006C1C0B" w:rsidRDefault="0053221F" w:rsidP="0053221F">
            <w:pPr>
              <w:pStyle w:val="BodyText"/>
            </w:pPr>
            <w:r>
              <w:t xml:space="preserve">4. </w:t>
            </w:r>
            <w:r w:rsidRPr="00DB79D4">
              <w:t>Programmis (lk 15) on toodud järgmist: „Kohalikku kliimat mõjutavad…“. Arvatavasti on mõeldud kohalikku ilmastikku. Palume sõnastust parandada.</w:t>
            </w:r>
          </w:p>
        </w:tc>
        <w:tc>
          <w:tcPr>
            <w:tcW w:w="7371" w:type="dxa"/>
          </w:tcPr>
          <w:p w14:paraId="2A35C187" w14:textId="7B5918F4" w:rsidR="006048C4" w:rsidRPr="006C1C0B" w:rsidRDefault="006048C4" w:rsidP="0053221F">
            <w:pPr>
              <w:pStyle w:val="BodyText"/>
              <w:cnfStyle w:val="000000010000" w:firstRow="0" w:lastRow="0" w:firstColumn="0" w:lastColumn="0" w:oddVBand="0" w:evenVBand="0" w:oddHBand="0" w:evenHBand="1" w:firstRowFirstColumn="0" w:firstRowLastColumn="0" w:lastRowFirstColumn="0" w:lastRowLastColumn="0"/>
            </w:pPr>
            <w:r>
              <w:t>Ettepanekuga arvestatakse</w:t>
            </w:r>
            <w:r w:rsidR="00BD24F4">
              <w:t xml:space="preserve">, </w:t>
            </w:r>
            <w:r w:rsidR="00D34B60">
              <w:t xml:space="preserve">sõnastust parandatakse. </w:t>
            </w:r>
          </w:p>
        </w:tc>
      </w:tr>
      <w:tr w:rsidR="0053221F" w14:paraId="520CB917" w14:textId="77777777" w:rsidTr="0D24D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1456F6A9" w14:textId="3379E98C" w:rsidR="0053221F" w:rsidRPr="006C1C0B" w:rsidRDefault="0053221F" w:rsidP="0053221F">
            <w:pPr>
              <w:pStyle w:val="BodyText"/>
            </w:pPr>
            <w:r>
              <w:t xml:space="preserve">5. </w:t>
            </w:r>
            <w:r w:rsidRPr="00DB79D4">
              <w:t xml:space="preserve">Programmis (lk 15) on toodud järgmist: „Seega Narva Elektrijaamade tuhaväljade…“. Palume täpsustada, milliseid elektrijaamu silmas peetakse või ümber </w:t>
            </w:r>
            <w:r w:rsidRPr="00DB79D4">
              <w:lastRenderedPageBreak/>
              <w:t xml:space="preserve">sõnastada. Kas mõeldud on kõiki elektrijaamu: Balti EJ, </w:t>
            </w:r>
            <w:proofErr w:type="spellStart"/>
            <w:r w:rsidRPr="00DB79D4">
              <w:t>Auvere</w:t>
            </w:r>
            <w:proofErr w:type="spellEnd"/>
            <w:r w:rsidRPr="00DB79D4">
              <w:t xml:space="preserve"> EJ, Eesti EJ?</w:t>
            </w:r>
          </w:p>
        </w:tc>
        <w:tc>
          <w:tcPr>
            <w:tcW w:w="7371" w:type="dxa"/>
          </w:tcPr>
          <w:p w14:paraId="67415FFF" w14:textId="7B6D25BF" w:rsidR="0053221F" w:rsidRPr="006C1C0B" w:rsidRDefault="009A0338" w:rsidP="00071D28">
            <w:pPr>
              <w:pStyle w:val="BodyText"/>
              <w:cnfStyle w:val="000000100000" w:firstRow="0" w:lastRow="0" w:firstColumn="0" w:lastColumn="0" w:oddVBand="0" w:evenVBand="0" w:oddHBand="1" w:evenHBand="0" w:firstRowFirstColumn="0" w:firstRowLastColumn="0" w:lastRowFirstColumn="0" w:lastRowLastColumn="0"/>
            </w:pPr>
            <w:r>
              <w:lastRenderedPageBreak/>
              <w:t>Selgitame, et</w:t>
            </w:r>
            <w:r w:rsidR="00071D28">
              <w:t xml:space="preserve"> </w:t>
            </w:r>
            <w:r w:rsidR="004B21AD">
              <w:t xml:space="preserve">Enefit Power AS on Eesti Energia tütarettevõte, mis </w:t>
            </w:r>
            <w:r w:rsidR="004D39B9" w:rsidRPr="004D39B9">
              <w:t xml:space="preserve"> asutati 1999. aastal Balti soojuselektrijaama ja Eesti soojuselektrijaama baasil.</w:t>
            </w:r>
            <w:r w:rsidR="004D39B9">
              <w:t xml:space="preserve"> </w:t>
            </w:r>
            <w:r w:rsidR="00DE1C18" w:rsidRPr="00DE1C18">
              <w:t>Ettevõte kandis 2009. aastani nime AS Narva Elektrijaamad, aastatel 2009–2016 Eesti Energia Narva Elektrijaamad AS</w:t>
            </w:r>
            <w:r w:rsidR="00DE1C18">
              <w:t xml:space="preserve">. </w:t>
            </w:r>
            <w:r w:rsidR="005B693E">
              <w:t>N</w:t>
            </w:r>
            <w:r w:rsidR="00D473DF">
              <w:t xml:space="preserve">üüdse nimega Enefit </w:t>
            </w:r>
            <w:r w:rsidR="00D473DF">
              <w:lastRenderedPageBreak/>
              <w:t>Power AS haldamise alla</w:t>
            </w:r>
            <w:r w:rsidR="005B693E">
              <w:t xml:space="preserve"> kuuluvad</w:t>
            </w:r>
            <w:r w:rsidR="006B5DA0">
              <w:t xml:space="preserve"> </w:t>
            </w:r>
            <w:r w:rsidR="00482429">
              <w:t xml:space="preserve">nii Balti </w:t>
            </w:r>
            <w:r w:rsidR="004464CC">
              <w:t>e</w:t>
            </w:r>
            <w:r w:rsidR="00482429">
              <w:t xml:space="preserve">lektrijaam, Eesti elektrijaam kui </w:t>
            </w:r>
            <w:proofErr w:type="spellStart"/>
            <w:r w:rsidR="007509F8">
              <w:t>Auvere</w:t>
            </w:r>
            <w:proofErr w:type="spellEnd"/>
            <w:r w:rsidR="007509F8">
              <w:t xml:space="preserve"> </w:t>
            </w:r>
            <w:r w:rsidR="004464CC">
              <w:t>e</w:t>
            </w:r>
            <w:r w:rsidR="007509F8">
              <w:t xml:space="preserve">lektrijaam. </w:t>
            </w:r>
            <w:r w:rsidR="00D958CD">
              <w:t xml:space="preserve">Samas kasutatakse siiani </w:t>
            </w:r>
            <w:r w:rsidR="00E4313D">
              <w:t xml:space="preserve">tuhaväljadega seotud </w:t>
            </w:r>
            <w:r w:rsidR="00D958CD">
              <w:t xml:space="preserve">uuringutes jm </w:t>
            </w:r>
            <w:r w:rsidR="00344FF6">
              <w:t xml:space="preserve">üldistavat nimetust </w:t>
            </w:r>
            <w:r w:rsidR="00396D67">
              <w:t>Narva elektrijaamad</w:t>
            </w:r>
            <w:r w:rsidR="00B54567">
              <w:t xml:space="preserve"> (</w:t>
            </w:r>
            <w:r w:rsidR="009D3F0D">
              <w:t>ka</w:t>
            </w:r>
            <w:r w:rsidR="00B54567">
              <w:t xml:space="preserve"> </w:t>
            </w:r>
            <w:r w:rsidR="0094607E">
              <w:t xml:space="preserve">programmi </w:t>
            </w:r>
            <w:proofErr w:type="spellStart"/>
            <w:r w:rsidR="0094607E">
              <w:t>ptk</w:t>
            </w:r>
            <w:proofErr w:type="spellEnd"/>
            <w:r w:rsidR="0094607E">
              <w:t xml:space="preserve"> 3.5 koostamisel kasutatud uuringus on see pealkirjas toodud)</w:t>
            </w:r>
            <w:r w:rsidR="009C6261">
              <w:t xml:space="preserve">. Kuna </w:t>
            </w:r>
            <w:proofErr w:type="spellStart"/>
            <w:r w:rsidR="009C6261">
              <w:t>Auvere</w:t>
            </w:r>
            <w:proofErr w:type="spellEnd"/>
            <w:r w:rsidR="009C6261">
              <w:t xml:space="preserve"> elektrijaamal ei ole eraldi tuhavälja, siis </w:t>
            </w:r>
            <w:r w:rsidR="00635E19">
              <w:t>selline sõnastus iseloomusta</w:t>
            </w:r>
            <w:r w:rsidR="000B2564">
              <w:t>b</w:t>
            </w:r>
            <w:r w:rsidR="00635E19">
              <w:t xml:space="preserve"> </w:t>
            </w:r>
            <w:r w:rsidR="00850ACE">
              <w:t>nii</w:t>
            </w:r>
            <w:r w:rsidR="009C6261">
              <w:t xml:space="preserve"> </w:t>
            </w:r>
            <w:r w:rsidR="00285AC7">
              <w:t xml:space="preserve">Balti elektrijaama </w:t>
            </w:r>
            <w:r w:rsidR="00285AC7" w:rsidRPr="00850ACE">
              <w:rPr>
                <w:u w:val="single"/>
              </w:rPr>
              <w:t>tuhavälja</w:t>
            </w:r>
            <w:r w:rsidR="00285AC7">
              <w:t xml:space="preserve"> kui Eesti elektrijaama </w:t>
            </w:r>
            <w:r w:rsidR="00285AC7" w:rsidRPr="00850ACE">
              <w:rPr>
                <w:u w:val="single"/>
              </w:rPr>
              <w:t>tuhavälja</w:t>
            </w:r>
            <w:r w:rsidR="00285AC7">
              <w:t xml:space="preserve"> piirkonda. </w:t>
            </w:r>
            <w:r w:rsidR="00635E19">
              <w:t xml:space="preserve">Programmi </w:t>
            </w:r>
            <w:proofErr w:type="spellStart"/>
            <w:r w:rsidR="00635E19">
              <w:t>ptk</w:t>
            </w:r>
            <w:proofErr w:type="spellEnd"/>
            <w:r w:rsidR="00635E19">
              <w:t xml:space="preserve"> 3.5</w:t>
            </w:r>
            <w:r w:rsidR="009528B6">
              <w:t xml:space="preserve"> sõnastus</w:t>
            </w:r>
            <w:r w:rsidR="0005749A">
              <w:t>e mõte ei muutu, kui kasutada viidatud allikast erinevat sõnastust</w:t>
            </w:r>
            <w:r w:rsidR="0033324F">
              <w:t xml:space="preserve"> (Eesti Elektrijaama tuhavälja piirkond </w:t>
            </w:r>
            <w:r w:rsidR="00F827D0">
              <w:t>on kitsam, kuid kuulub hulka)</w:t>
            </w:r>
            <w:r w:rsidR="0033324F">
              <w:t>.</w:t>
            </w:r>
          </w:p>
        </w:tc>
      </w:tr>
      <w:tr w:rsidR="0053221F" w14:paraId="3EC147FC" w14:textId="77777777" w:rsidTr="0D24DF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00D6B2C7" w14:textId="18A154A5" w:rsidR="0053221F" w:rsidRPr="006C1C0B" w:rsidRDefault="0053221F" w:rsidP="0053221F">
            <w:pPr>
              <w:pStyle w:val="BodyText"/>
            </w:pPr>
            <w:r>
              <w:lastRenderedPageBreak/>
              <w:t xml:space="preserve">6. </w:t>
            </w:r>
            <w:r w:rsidRPr="00DB79D4">
              <w:t>Programmis (lk 23) on toodud järgmist: „Oluliste ebasoodsate mõjude avaldumist ei ole põhjust eeldada järgmistes mõjuvaldkondades ja nimetatud teemasid KMH aruandes detailsemalt ei käsitleta…“. Kui Kaitseministeeriumiga tuhaladestu kõrgusesse mineku osas kooskõlastust ei saavutata ja on vaja laiendada, siis lk 23 toodud seisukohad on juba KMH programmis valed, sest laiendades tuleb maakasutus teemaks. Palume ümber sõnastada arvestades alternatiiv 2 tõenäosusi.</w:t>
            </w:r>
          </w:p>
        </w:tc>
        <w:tc>
          <w:tcPr>
            <w:tcW w:w="7371" w:type="dxa"/>
          </w:tcPr>
          <w:p w14:paraId="79ACD619" w14:textId="77777777" w:rsidR="00FB289B" w:rsidRDefault="00FB289B" w:rsidP="0053221F">
            <w:pPr>
              <w:pStyle w:val="BodyText"/>
              <w:cnfStyle w:val="000000010000" w:firstRow="0" w:lastRow="0" w:firstColumn="0" w:lastColumn="0" w:oddVBand="0" w:evenVBand="0" w:oddHBand="0" w:evenHBand="1" w:firstRowFirstColumn="0" w:firstRowLastColumn="0" w:lastRowFirstColumn="0" w:lastRowLastColumn="0"/>
            </w:pPr>
            <w:r>
              <w:t xml:space="preserve">Ettepanekuga arvestatakse osaliselt. </w:t>
            </w:r>
          </w:p>
          <w:p w14:paraId="76F92562" w14:textId="18354CF9" w:rsidR="0053221F" w:rsidRDefault="00D91BF3" w:rsidP="0053221F">
            <w:pPr>
              <w:pStyle w:val="BodyText"/>
              <w:cnfStyle w:val="000000010000" w:firstRow="0" w:lastRow="0" w:firstColumn="0" w:lastColumn="0" w:oddVBand="0" w:evenVBand="0" w:oddHBand="0" w:evenHBand="1" w:firstRowFirstColumn="0" w:firstRowLastColumn="0" w:lastRowFirstColumn="0" w:lastRowLastColumn="0"/>
            </w:pPr>
            <w:r w:rsidRPr="00FA0D55">
              <w:t>Punkti 1 vastuses tõime välja, et alternatiivide sõnastusi korrigeeritakse</w:t>
            </w:r>
            <w:r w:rsidR="00A36758" w:rsidRPr="00FA0D55">
              <w:t xml:space="preserve"> (lisatakse </w:t>
            </w:r>
            <w:r w:rsidR="00BE6CF0" w:rsidRPr="00FA0D55">
              <w:t xml:space="preserve">ka </w:t>
            </w:r>
            <w:r w:rsidR="00A36758" w:rsidRPr="00FA0D55">
              <w:t xml:space="preserve">täiendav alternatiiv. </w:t>
            </w:r>
            <w:r w:rsidR="00A36758">
              <w:t xml:space="preserve">Programmis </w:t>
            </w:r>
            <w:r w:rsidR="00B26B8F">
              <w:t>tehakse</w:t>
            </w:r>
            <w:r w:rsidR="00A36758">
              <w:t xml:space="preserve"> teatud mõjuvaldkonda</w:t>
            </w:r>
            <w:r w:rsidR="00B26B8F">
              <w:t>des</w:t>
            </w:r>
            <w:r w:rsidR="00A36758">
              <w:t xml:space="preserve"> (</w:t>
            </w:r>
            <w:r w:rsidR="00FB289B">
              <w:t xml:space="preserve">nt </w:t>
            </w:r>
            <w:r w:rsidR="00A36758">
              <w:t xml:space="preserve">müra mõju, mõju looduskeskkonnale) </w:t>
            </w:r>
            <w:r w:rsidR="00B26B8F">
              <w:t xml:space="preserve">täiendused, mille kohaselt teatud mõjusid hinnatakse </w:t>
            </w:r>
            <w:r w:rsidR="00B26B8F" w:rsidRPr="00B26B8F">
              <w:t>üksnes tingimusel, kui need osutuvad vajalikuks lähtuvalt hindamise tulemusel tekkivatest täiendavatest alternatiividest</w:t>
            </w:r>
            <w:r w:rsidR="00FC782F">
              <w:t>/tegevusvariantidest</w:t>
            </w:r>
            <w:r w:rsidR="00B26B8F" w:rsidRPr="00B26B8F">
              <w:t xml:space="preserve">, mille puhul vastav mõjuvaldkond </w:t>
            </w:r>
            <w:r w:rsidR="002A7037">
              <w:t>muutub</w:t>
            </w:r>
            <w:r w:rsidR="00B26B8F" w:rsidRPr="00B26B8F">
              <w:t xml:space="preserve"> asjakoha</w:t>
            </w:r>
            <w:r w:rsidR="002A7037">
              <w:t>seks</w:t>
            </w:r>
            <w:r w:rsidR="00FB289B">
              <w:t>.</w:t>
            </w:r>
          </w:p>
          <w:p w14:paraId="47951E89" w14:textId="14D0F20A" w:rsidR="00FB289B" w:rsidRPr="006C1C0B" w:rsidRDefault="00D8491A" w:rsidP="0053221F">
            <w:pPr>
              <w:pStyle w:val="BodyText"/>
              <w:cnfStyle w:val="000000010000" w:firstRow="0" w:lastRow="0" w:firstColumn="0" w:lastColumn="0" w:oddVBand="0" w:evenVBand="0" w:oddHBand="0" w:evenHBand="1" w:firstRowFirstColumn="0" w:firstRowLastColumn="0" w:lastRowFirstColumn="0" w:lastRowLastColumn="0"/>
            </w:pPr>
            <w:r>
              <w:t>Ka t</w:t>
            </w:r>
            <w:r w:rsidR="00AB54B2">
              <w:t xml:space="preserve">uhaväljaku </w:t>
            </w:r>
            <w:r w:rsidR="00C55C68">
              <w:t>laiusesse</w:t>
            </w:r>
            <w:r w:rsidR="00AB54B2">
              <w:t xml:space="preserve"> laiendamise </w:t>
            </w:r>
            <w:r w:rsidR="00645B9F">
              <w:t xml:space="preserve">korral </w:t>
            </w:r>
            <w:r w:rsidR="00645B9F" w:rsidRPr="00C55C68">
              <w:t xml:space="preserve">ei väljuta </w:t>
            </w:r>
            <w:r w:rsidR="003B508C">
              <w:t>k</w:t>
            </w:r>
            <w:r w:rsidR="00C55C68" w:rsidRPr="00C55C68">
              <w:t>avandatava tegevusega olemasoleva tuhavälja piiridest</w:t>
            </w:r>
            <w:r w:rsidR="00C55C68">
              <w:t>, st mõju maakasutusele ei muutu</w:t>
            </w:r>
            <w:r w:rsidR="003B508C">
              <w:t>.</w:t>
            </w:r>
          </w:p>
        </w:tc>
      </w:tr>
      <w:tr w:rsidR="0053221F" w14:paraId="1B2FAD14" w14:textId="77777777" w:rsidTr="0D24D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6FEFD006" w14:textId="2086F4BA" w:rsidR="0053221F" w:rsidRPr="001C5B52" w:rsidRDefault="0053221F" w:rsidP="0053221F">
            <w:pPr>
              <w:pStyle w:val="BodyText"/>
            </w:pPr>
            <w:r>
              <w:t xml:space="preserve">7. </w:t>
            </w:r>
            <w:r w:rsidRPr="00DB79D4">
              <w:t xml:space="preserve">Enefit280-2 KMH ei käsitlenud nõutud tuha jäätmekäitlustehnoloogiate alternatiivide mõjuvõrdlust nõutud ulatuses. Peatükki 5 tuleb lisada hinnatava valdkonnana ka tuhakäitlustehnoloogiate alternatiivide keskkonnamõju hindamine. Kui tolmpõletusplokkide tuha suunamine lakkab, muutub kogu EEJ tuhaväljakule suunatava tuha koostis (erituhkade osakaal </w:t>
            </w:r>
            <w:proofErr w:type="spellStart"/>
            <w:r w:rsidRPr="00DB79D4">
              <w:t>biomassi</w:t>
            </w:r>
            <w:proofErr w:type="spellEnd"/>
            <w:r w:rsidRPr="00DB79D4">
              <w:t xml:space="preserve"> tuhk vs põlevkivi tuhk). See annab alust, et peab hindama ka muutunud tuha koostise taaskasutusele </w:t>
            </w:r>
            <w:r w:rsidRPr="00DB79D4">
              <w:lastRenderedPageBreak/>
              <w:t xml:space="preserve">võtmiseks soodustavate tehnoloogiate kasutusele võtmist. Palume täiendada KMH programmi </w:t>
            </w:r>
            <w:proofErr w:type="spellStart"/>
            <w:r w:rsidRPr="00DB79D4">
              <w:t>ptk</w:t>
            </w:r>
            <w:proofErr w:type="spellEnd"/>
            <w:r w:rsidRPr="00DB79D4">
              <w:t xml:space="preserve"> 5. vastavalt. Põlevkivi arengukava üks eesmärk on, et põlevkivi kasutamise efektiivsust tuleb tõsta ja negatiivset keskkonnamõju vähendada, mille saavutamist hinnatakse muuhulgas ka põlevkivituha taaskasutamise võtmise mõjunäitajaga. Seetõttu ei saa antud juhul seda küsimust jätta hindamata. Ka KMH programmis (lk 25) </w:t>
            </w:r>
            <w:proofErr w:type="spellStart"/>
            <w:r w:rsidRPr="00DB79D4">
              <w:t>ptk-s</w:t>
            </w:r>
            <w:proofErr w:type="spellEnd"/>
            <w:r w:rsidRPr="00DB79D4">
              <w:t xml:space="preserve"> 6 viidatakse kaudselt võimalike alternatiivsete tuhaärastussüsteemide valiku tegemisele.</w:t>
            </w:r>
          </w:p>
        </w:tc>
        <w:tc>
          <w:tcPr>
            <w:tcW w:w="7371" w:type="dxa"/>
          </w:tcPr>
          <w:p w14:paraId="5CE1C589" w14:textId="26A1532D" w:rsidR="0053221F" w:rsidRDefault="00825AEB" w:rsidP="0053221F">
            <w:pPr>
              <w:pStyle w:val="BodyText"/>
              <w:cnfStyle w:val="000000100000" w:firstRow="0" w:lastRow="0" w:firstColumn="0" w:lastColumn="0" w:oddVBand="0" w:evenVBand="0" w:oddHBand="1" w:evenHBand="0" w:firstRowFirstColumn="0" w:firstRowLastColumn="0" w:lastRowFirstColumn="0" w:lastRowLastColumn="0"/>
            </w:pPr>
            <w:r>
              <w:lastRenderedPageBreak/>
              <w:t xml:space="preserve">KMH programmis on Alternatiiv 2 juures selgitatud, et </w:t>
            </w:r>
            <w:r w:rsidR="00620858">
              <w:t xml:space="preserve">asjakohasusel hinnatakse </w:t>
            </w:r>
            <w:r w:rsidR="00620858" w:rsidRPr="00620858">
              <w:t>tehnoloogiliste muudatuste</w:t>
            </w:r>
            <w:r w:rsidR="009163A1">
              <w:t xml:space="preserve"> mõjusid</w:t>
            </w:r>
            <w:r w:rsidR="00620858" w:rsidRPr="00620858">
              <w:t>.</w:t>
            </w:r>
            <w:r w:rsidR="00205726">
              <w:t xml:space="preserve"> </w:t>
            </w:r>
            <w:r w:rsidR="00DA7FFE">
              <w:t xml:space="preserve">Selle hulka kuuluvad ka </w:t>
            </w:r>
            <w:r w:rsidR="00312DB5">
              <w:t>tehnoloogilised muudatused, mis võivad</w:t>
            </w:r>
            <w:r w:rsidR="006F499D">
              <w:t xml:space="preserve"> olla</w:t>
            </w:r>
            <w:r w:rsidR="00312DB5">
              <w:t xml:space="preserve"> tingi</w:t>
            </w:r>
            <w:r w:rsidR="006F499D">
              <w:t>tud</w:t>
            </w:r>
            <w:r w:rsidR="00312DB5">
              <w:t xml:space="preserve"> </w:t>
            </w:r>
            <w:r w:rsidR="0031655E">
              <w:t>tuha koostise muutumises</w:t>
            </w:r>
            <w:r w:rsidR="006F499D">
              <w:t>t</w:t>
            </w:r>
            <w:r w:rsidR="00312DB5">
              <w:t xml:space="preserve">. </w:t>
            </w:r>
          </w:p>
          <w:p w14:paraId="71A58121" w14:textId="77777777" w:rsidR="00E04A2C" w:rsidRDefault="00C51D96" w:rsidP="001E2EC1">
            <w:pPr>
              <w:pStyle w:val="BodyText"/>
              <w:cnfStyle w:val="000000100000" w:firstRow="0" w:lastRow="0" w:firstColumn="0" w:lastColumn="0" w:oddVBand="0" w:evenVBand="0" w:oddHBand="1" w:evenHBand="0" w:firstRowFirstColumn="0" w:firstRowLastColumn="0" w:lastRowFirstColumn="0" w:lastRowLastColumn="0"/>
            </w:pPr>
            <w:r>
              <w:t>Enefit 280-2 KMH raames hinnat</w:t>
            </w:r>
            <w:r w:rsidR="001E2EC1">
              <w:t>i mh</w:t>
            </w:r>
            <w:r w:rsidR="001E2EC1" w:rsidRPr="001E2EC1">
              <w:t xml:space="preserve"> tuhaärastuses rakendatava tehnoloogia sobilikkust </w:t>
            </w:r>
            <w:proofErr w:type="spellStart"/>
            <w:r w:rsidR="001E2EC1" w:rsidRPr="001E2EC1">
              <w:t>Auvere</w:t>
            </w:r>
            <w:proofErr w:type="spellEnd"/>
            <w:r w:rsidR="001E2EC1" w:rsidRPr="001E2EC1">
              <w:t xml:space="preserve"> energiakompleksis.</w:t>
            </w:r>
            <w:r w:rsidR="001E2EC1">
              <w:t xml:space="preserve"> </w:t>
            </w:r>
            <w:r w:rsidR="001E2EC1" w:rsidRPr="001E2EC1">
              <w:t>Koosta</w:t>
            </w:r>
            <w:r w:rsidR="001E2EC1">
              <w:t>ti</w:t>
            </w:r>
            <w:r w:rsidR="001E2EC1" w:rsidRPr="001E2EC1">
              <w:t xml:space="preserve"> ülevaade tuhaärastuse ja järgnevate käitlemisetappide alternatiivsetest võimalustest</w:t>
            </w:r>
            <w:r w:rsidR="001E2EC1">
              <w:t>, a</w:t>
            </w:r>
            <w:r w:rsidR="001E2EC1" w:rsidRPr="001E2EC1">
              <w:t>nt</w:t>
            </w:r>
            <w:r w:rsidR="001E2EC1">
              <w:t>i</w:t>
            </w:r>
            <w:r w:rsidR="001E2EC1" w:rsidRPr="001E2EC1">
              <w:t xml:space="preserve"> hinnangud alternatiivsete lahenduste rakendatavusele, seejuures tuues välja tehnilise sobivuse, kaasnevad kulutused </w:t>
            </w:r>
            <w:r w:rsidR="001E2EC1" w:rsidRPr="001E2EC1">
              <w:lastRenderedPageBreak/>
              <w:t>(investeeringuvajadus ja käitamiskulud) ja keskkonnamõju, sh loodusressursside kasutamine.</w:t>
            </w:r>
            <w:r w:rsidR="005F558B">
              <w:t xml:space="preserve"> Toodi välja tuhaärastuse võimalikud tulevikustsenaariumid.</w:t>
            </w:r>
          </w:p>
          <w:p w14:paraId="1B3171C0" w14:textId="7557B423" w:rsidR="001E2EC1" w:rsidRDefault="001E2EC1" w:rsidP="001E2EC1">
            <w:pPr>
              <w:pStyle w:val="BodyText"/>
              <w:cnfStyle w:val="000000100000" w:firstRow="0" w:lastRow="0" w:firstColumn="0" w:lastColumn="0" w:oddVBand="0" w:evenVBand="0" w:oddHBand="1" w:evenHBand="0" w:firstRowFirstColumn="0" w:firstRowLastColumn="0" w:lastRowFirstColumn="0" w:lastRowLastColumn="0"/>
            </w:pPr>
            <w:r w:rsidRPr="001E2EC1">
              <w:t xml:space="preserve">Eesti Energia on hinnanud tuhavälja mahutavuse suurendamise võimalusi, sh arvestades erinevate tuhkade ning puhastusseadmetest tekkivade tuhalaadsete materjalide ladestamist. </w:t>
            </w:r>
          </w:p>
          <w:p w14:paraId="230A0133" w14:textId="62CA7596" w:rsidR="00BE3AFB" w:rsidRDefault="007465B8" w:rsidP="00BE3AFB">
            <w:pPr>
              <w:pStyle w:val="BodyText"/>
              <w:cnfStyle w:val="000000100000" w:firstRow="0" w:lastRow="0" w:firstColumn="0" w:lastColumn="0" w:oddVBand="0" w:evenVBand="0" w:oddHBand="1" w:evenHBand="0" w:firstRowFirstColumn="0" w:firstRowLastColumn="0" w:lastRowFirstColumn="0" w:lastRowLastColumn="0"/>
            </w:pPr>
            <w:r>
              <w:t xml:space="preserve">Nõuetele vastavaks tunnistatud </w:t>
            </w:r>
            <w:proofErr w:type="spellStart"/>
            <w:r w:rsidR="00E04A2C">
              <w:t>KMHs</w:t>
            </w:r>
            <w:proofErr w:type="spellEnd"/>
            <w:r w:rsidR="007F3C12">
              <w:t xml:space="preserve"> jõuti järeldusele, et k</w:t>
            </w:r>
            <w:r w:rsidR="00BE3AFB" w:rsidRPr="00BE3AFB">
              <w:t xml:space="preserve">uni jätkub põlevkivi otsepõletamine, ei ole põhjust süsteemi muuta. Üleminek elektrijaamades kuivtuhaärastusele ja niisutatud tuha transpordile nõuab suuri investeeringuid (hinnanguliselt vähemalt 200 mln €), kuid sellega ei kaasneks seni </w:t>
            </w:r>
            <w:r w:rsidR="006E30AE">
              <w:t>teada olevate ja hinnatud keskkonna</w:t>
            </w:r>
            <w:r w:rsidR="00BE3AFB" w:rsidRPr="00BE3AFB">
              <w:t xml:space="preserve">mõjude olulist vähenemist. </w:t>
            </w:r>
            <w:r w:rsidR="006E30AE">
              <w:t>Tuha koguste võimaliku vähenemise tõttu v</w:t>
            </w:r>
            <w:r w:rsidR="00BE3AFB" w:rsidRPr="00BE3AFB">
              <w:t>äheneks vee kasutamine ringlussüsteemi juurde antava vee arvelt ning elektrienergia kulu.</w:t>
            </w:r>
            <w:r w:rsidR="007F3C12">
              <w:t xml:space="preserve"> Lisaks on välja toodud, et p</w:t>
            </w:r>
            <w:r w:rsidR="007F3C12" w:rsidRPr="007F3C12">
              <w:t>õlevkivituha käitlustehnoloogia ja selle rajatised ning seadmed on Eesti elektrijaamas ja õlitootmises tekkiva tuhakoguse suhtes optimaalsed ning piisava mahtuvusega ka pikemas perspektiivis.</w:t>
            </w:r>
          </w:p>
          <w:p w14:paraId="4ADE41F2" w14:textId="6D969DA2" w:rsidR="007F3C12" w:rsidRDefault="007F3C12" w:rsidP="007F3C12">
            <w:pPr>
              <w:pStyle w:val="BodyText"/>
              <w:cnfStyle w:val="000000100000" w:firstRow="0" w:lastRow="0" w:firstColumn="0" w:lastColumn="0" w:oddVBand="0" w:evenVBand="0" w:oddHBand="1" w:evenHBand="0" w:firstRowFirstColumn="0" w:firstRowLastColumn="0" w:lastRowFirstColumn="0" w:lastRowLastColumn="0"/>
            </w:pPr>
            <w:r>
              <w:t>Töös on märgitud</w:t>
            </w:r>
            <w:r w:rsidR="00133F7A">
              <w:t xml:space="preserve"> ka, et v</w:t>
            </w:r>
            <w:r w:rsidRPr="007F3C12">
              <w:t xml:space="preserve">ajalikud on tõenduspõhised andmed põlevkiviõli tootmisseadmete ja elektrijaamade tuha omaduste kohta põlevkivi otsepõletamise lõpetamisel. Peamine küsimus seisneb selles, et millised on tuhkade, sh erinevas vahekordades segude tsementeerumisomadused, st kas on tagatud tuhamäe stabiilsus ja erosioonikindlus. Kui uuringute tulemused on teada, saab nende põhjal otsustada, milline tuhaärastus ja ladestustehnoloogia valida olukorras, kui peaks põlevkivi otsepõletamine lõppema. </w:t>
            </w:r>
          </w:p>
          <w:p w14:paraId="02B13FFB" w14:textId="37F406ED" w:rsidR="007F3C12" w:rsidRDefault="00F2751E" w:rsidP="007F3C12">
            <w:pPr>
              <w:pStyle w:val="BodyText"/>
              <w:cnfStyle w:val="000000100000" w:firstRow="0" w:lastRow="0" w:firstColumn="0" w:lastColumn="0" w:oddVBand="0" w:evenVBand="0" w:oddHBand="1" w:evenHBand="0" w:firstRowFirstColumn="0" w:firstRowLastColumn="0" w:lastRowFirstColumn="0" w:lastRowLastColumn="0"/>
            </w:pPr>
            <w:r>
              <w:t>Käesoleva KMH raames viiakse läbi tuhkade uuringud v</w:t>
            </w:r>
            <w:r w:rsidR="007F3C12">
              <w:t>astavalt uuringute kavale „</w:t>
            </w:r>
            <w:proofErr w:type="spellStart"/>
            <w:r w:rsidR="007F3C12" w:rsidRPr="00346FB7">
              <w:t>Auvere</w:t>
            </w:r>
            <w:proofErr w:type="spellEnd"/>
            <w:r w:rsidR="007F3C12" w:rsidRPr="00346FB7">
              <w:t xml:space="preserve"> energiakompleksi tuha omaduste uurimi</w:t>
            </w:r>
            <w:r w:rsidR="007F3C12">
              <w:t>n</w:t>
            </w:r>
            <w:r w:rsidR="007F3C12" w:rsidRPr="00346FB7">
              <w:t>e tuhavälja stabiilsuse tagamiseks</w:t>
            </w:r>
            <w:r w:rsidR="007F3C12">
              <w:t xml:space="preserve">“ (programmi lisa 4, </w:t>
            </w:r>
            <w:r w:rsidR="007F3C12" w:rsidRPr="004B1DA1">
              <w:t>IPT Projektijuhtimine OÜ</w:t>
            </w:r>
            <w:r w:rsidR="007F3C12">
              <w:t>)</w:t>
            </w:r>
            <w:r>
              <w:t>. Töö käigus</w:t>
            </w:r>
            <w:r w:rsidR="007F3C12">
              <w:t xml:space="preserve"> u</w:t>
            </w:r>
            <w:r w:rsidR="007F3C12" w:rsidRPr="004B1DA1">
              <w:t>uri</w:t>
            </w:r>
            <w:r w:rsidR="007F3C12">
              <w:t>takse mh</w:t>
            </w:r>
            <w:r w:rsidR="007F3C12" w:rsidRPr="004B1DA1">
              <w:t xml:space="preserve"> Enefit Power AS-i </w:t>
            </w:r>
            <w:proofErr w:type="spellStart"/>
            <w:r w:rsidR="007F3C12" w:rsidRPr="004B1DA1">
              <w:t>Auvere</w:t>
            </w:r>
            <w:proofErr w:type="spellEnd"/>
            <w:r w:rsidR="007F3C12" w:rsidRPr="004B1DA1">
              <w:t xml:space="preserve"> tootmisüksustes tekkivate </w:t>
            </w:r>
            <w:r w:rsidR="007F3C12" w:rsidRPr="004B1DA1">
              <w:lastRenderedPageBreak/>
              <w:t>tuharäbu materjalide omadusi</w:t>
            </w:r>
            <w:r w:rsidR="007F3C12">
              <w:t xml:space="preserve"> katseväljakutel, kuhu on paigutatud erinevad tuhad ja tuhasegud.</w:t>
            </w:r>
          </w:p>
          <w:p w14:paraId="5B8684C4" w14:textId="4CBDA302" w:rsidR="00406C04" w:rsidRDefault="00F474D6" w:rsidP="00406C04">
            <w:pPr>
              <w:pStyle w:val="BodyText"/>
              <w:cnfStyle w:val="000000100000" w:firstRow="0" w:lastRow="0" w:firstColumn="0" w:lastColumn="0" w:oddVBand="0" w:evenVBand="0" w:oddHBand="1" w:evenHBand="0" w:firstRowFirstColumn="0" w:firstRowLastColumn="0" w:lastRowFirstColumn="0" w:lastRowLastColumn="0"/>
            </w:pPr>
            <w:r>
              <w:t xml:space="preserve">Nende uuringute tulemusena selgub, </w:t>
            </w:r>
            <w:r w:rsidR="007E3BDA">
              <w:t xml:space="preserve">kas vajalik on </w:t>
            </w:r>
            <w:r w:rsidR="00925873">
              <w:t>mi</w:t>
            </w:r>
            <w:r w:rsidR="0045714C">
              <w:t>da</w:t>
            </w:r>
            <w:r w:rsidR="00925873">
              <w:t xml:space="preserve">gi muuta. </w:t>
            </w:r>
            <w:r w:rsidR="00A40182">
              <w:t>Kui jah, siis ei ole tingimata tegemist ladestustehnoloogia muutusega</w:t>
            </w:r>
            <w:r w:rsidR="00D1251A">
              <w:t xml:space="preserve">, leevendavad meetmed võivad seisneda ka ladestu kõrguspiirangus </w:t>
            </w:r>
            <w:r w:rsidR="002C1185">
              <w:t>jms.</w:t>
            </w:r>
            <w:r w:rsidR="00F72125">
              <w:t xml:space="preserve"> </w:t>
            </w:r>
            <w:r w:rsidR="00545C06">
              <w:t xml:space="preserve">KMH programmi avalikul arutelu käsitleti seda teemat ja toodi ka välja, et </w:t>
            </w:r>
            <w:r w:rsidR="00642FFE">
              <w:t>v</w:t>
            </w:r>
            <w:r w:rsidR="00406C04">
              <w:t xml:space="preserve">astavalt KMH juhendmaterjalidele ja õigusaktidele peavad alternatiivid vastama teatud tingimustele, seejuures on olulisteks tingimusteks alternatiivi majanduslik teostatavus ja arendaja valmisolek alternatiivi reaalselt ellu viima.  </w:t>
            </w:r>
            <w:r w:rsidR="004A7FB1" w:rsidRPr="004A7FB1">
              <w:t xml:space="preserve">Seega lisatakse </w:t>
            </w:r>
            <w:r w:rsidR="004A7FB1">
              <w:t>tuha käitluse alt</w:t>
            </w:r>
            <w:r w:rsidR="001A010E">
              <w:t xml:space="preserve">ernatiivide võrdlus </w:t>
            </w:r>
            <w:r w:rsidR="004A7FB1" w:rsidRPr="004A7FB1">
              <w:t>tingimuslik võrdlus: käsitletakse üksnes tingimusel, kui need osutuvad vaj</w:t>
            </w:r>
            <w:r w:rsidR="00EA4485">
              <w:t>a</w:t>
            </w:r>
            <w:r w:rsidR="004A7FB1" w:rsidRPr="004A7FB1">
              <w:t xml:space="preserve">likuks lähtuvalt </w:t>
            </w:r>
            <w:r w:rsidR="004C4DBE">
              <w:t>uuringute</w:t>
            </w:r>
            <w:r w:rsidR="00731085">
              <w:t xml:space="preserve"> ja </w:t>
            </w:r>
            <w:r w:rsidR="004A7FB1" w:rsidRPr="004A7FB1">
              <w:t>hindamise tulemus</w:t>
            </w:r>
            <w:r w:rsidR="00731085">
              <w:t>test.</w:t>
            </w:r>
          </w:p>
          <w:p w14:paraId="5E0C5BEE" w14:textId="69AD25AA" w:rsidR="0076312F" w:rsidRPr="001C5B52" w:rsidRDefault="00936942" w:rsidP="00F707C0">
            <w:pPr>
              <w:pStyle w:val="BodyText"/>
              <w:cnfStyle w:val="000000100000" w:firstRow="0" w:lastRow="0" w:firstColumn="0" w:lastColumn="0" w:oddVBand="0" w:evenVBand="0" w:oddHBand="1" w:evenHBand="0" w:firstRowFirstColumn="0" w:firstRowLastColumn="0" w:lastRowFirstColumn="0" w:lastRowLastColumn="0"/>
            </w:pPr>
            <w:r>
              <w:t xml:space="preserve">Enefit 280-2 </w:t>
            </w:r>
            <w:proofErr w:type="spellStart"/>
            <w:r w:rsidR="00AF6142">
              <w:t>KMHs</w:t>
            </w:r>
            <w:proofErr w:type="spellEnd"/>
            <w:r w:rsidR="00AF6142">
              <w:t xml:space="preserve"> hinnati ka </w:t>
            </w:r>
            <w:r w:rsidR="00F707C0">
              <w:t>tuhkade taaskasutamist ning jõuti järeldusele, et t</w:t>
            </w:r>
            <w:r w:rsidR="00AF6142" w:rsidRPr="00AF6142">
              <w:t xml:space="preserve">uhkade taaskasutamise suurendamiseks on vajalik nõudluse kasv. </w:t>
            </w:r>
            <w:r w:rsidR="006E30AE">
              <w:t>Täna teada olevad p</w:t>
            </w:r>
            <w:r w:rsidR="00AF6142" w:rsidRPr="00AF6142">
              <w:t>arimate kasutusvõimalustega valdkonnad on teedeehitus, mass-stabiliseerimistegevused (sh Rail Baltic projekt), ehitusmaterjalide tootmine, mis nõuavad täiendavaid uuringuid tuha sideaineliste omaduste osas.</w:t>
            </w:r>
            <w:r w:rsidR="006E30AE">
              <w:t xml:space="preserve"> Samas ei saa välistada ka töös olevate projektide põhjal </w:t>
            </w:r>
            <w:proofErr w:type="spellStart"/>
            <w:r w:rsidR="006E30AE">
              <w:t>hüdrotuhaärastust</w:t>
            </w:r>
            <w:proofErr w:type="spellEnd"/>
            <w:r w:rsidR="006E30AE">
              <w:t xml:space="preserve"> läbinud põlevkivituhkade taaskasutuse võimalusi.</w:t>
            </w:r>
            <w:r w:rsidR="00AF6142" w:rsidRPr="00AF6142">
              <w:t xml:space="preserve"> Põlevkivituha mastaapsemal kasutusel esinevad lisaks </w:t>
            </w:r>
            <w:r w:rsidR="006E30AE">
              <w:t xml:space="preserve">turunõudluse vähesusele </w:t>
            </w:r>
            <w:r w:rsidR="00AF6142" w:rsidRPr="00AF6142">
              <w:t>ka logistilised piirangud – tootmis- ja transpordiettevõtete suutlikkus, materjalide ladustamised ja vaheladustamised objektidel.</w:t>
            </w:r>
            <w:r w:rsidR="002D223E">
              <w:t xml:space="preserve"> Töös järeldati, et t</w:t>
            </w:r>
            <w:r w:rsidR="002D223E" w:rsidRPr="002D223E">
              <w:t>uha taaskasutamine ei ole vähemalt lähema 10...15 aasta jooksul realistlik alternatiiv</w:t>
            </w:r>
            <w:r w:rsidR="00395D19">
              <w:t xml:space="preserve">, millest tulenevalt ei hinnata ka käesolevas </w:t>
            </w:r>
            <w:proofErr w:type="spellStart"/>
            <w:r w:rsidR="00395D19">
              <w:t>KMHs</w:t>
            </w:r>
            <w:proofErr w:type="spellEnd"/>
            <w:r w:rsidR="00395D19">
              <w:t xml:space="preserve"> uuesti </w:t>
            </w:r>
            <w:r w:rsidR="002D0D0D">
              <w:t xml:space="preserve">põlevkivi taaskasutusse võtmise </w:t>
            </w:r>
            <w:r w:rsidR="00AF3968">
              <w:t>mõjunäitajai</w:t>
            </w:r>
            <w:r w:rsidR="00FA0D55">
              <w:t>d.</w:t>
            </w:r>
          </w:p>
        </w:tc>
      </w:tr>
      <w:tr w:rsidR="0053221F" w14:paraId="420D0FC5" w14:textId="77777777" w:rsidTr="0D24DF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26B0F27F" w14:textId="5769DDE0" w:rsidR="0053221F" w:rsidRPr="001C5B52" w:rsidRDefault="0053221F" w:rsidP="0053221F">
            <w:pPr>
              <w:pStyle w:val="BodyText"/>
            </w:pPr>
            <w:r>
              <w:lastRenderedPageBreak/>
              <w:t xml:space="preserve">8. </w:t>
            </w:r>
            <w:r w:rsidRPr="00DB79D4">
              <w:t xml:space="preserve">Kas </w:t>
            </w:r>
            <w:proofErr w:type="spellStart"/>
            <w:r w:rsidRPr="00DB79D4">
              <w:t>ptk-s</w:t>
            </w:r>
            <w:proofErr w:type="spellEnd"/>
            <w:r w:rsidRPr="00DB79D4">
              <w:t xml:space="preserve"> 5 (lk 22) ja </w:t>
            </w:r>
            <w:proofErr w:type="spellStart"/>
            <w:r w:rsidRPr="00DB79D4">
              <w:t>ptk-s</w:t>
            </w:r>
            <w:proofErr w:type="spellEnd"/>
            <w:r w:rsidRPr="00DB79D4">
              <w:t xml:space="preserve"> 6 (lk 26) mainitud visuaalse mõju all hinnatakse Kaitseministeeriumi tõstatatud </w:t>
            </w:r>
            <w:r w:rsidRPr="00DB79D4">
              <w:lastRenderedPageBreak/>
              <w:t xml:space="preserve">küsimust planeeritava tuhaladestu küsimuses? Palume vajadusel täiendada programmi. </w:t>
            </w:r>
          </w:p>
        </w:tc>
        <w:tc>
          <w:tcPr>
            <w:tcW w:w="7371" w:type="dxa"/>
          </w:tcPr>
          <w:p w14:paraId="6D53C72E" w14:textId="7968A835" w:rsidR="0053221F" w:rsidRPr="001C5B52" w:rsidRDefault="00E45D82" w:rsidP="0053221F">
            <w:pPr>
              <w:pStyle w:val="BodyText"/>
              <w:cnfStyle w:val="000000010000" w:firstRow="0" w:lastRow="0" w:firstColumn="0" w:lastColumn="0" w:oddVBand="0" w:evenVBand="0" w:oddHBand="0" w:evenHBand="1" w:firstRowFirstColumn="0" w:firstRowLastColumn="0" w:lastRowFirstColumn="0" w:lastRowLastColumn="0"/>
            </w:pPr>
            <w:r>
              <w:lastRenderedPageBreak/>
              <w:t>Visuaalse mõju all hin</w:t>
            </w:r>
            <w:r w:rsidR="0040154B">
              <w:t xml:space="preserve">natakse </w:t>
            </w:r>
            <w:r w:rsidR="00F13BE4">
              <w:t xml:space="preserve">nii ladestusala kõrguse kui võimaliku laiuse alternatiiviga kaasnevaid mõjusid. </w:t>
            </w:r>
            <w:r w:rsidR="002116C0">
              <w:t xml:space="preserve">Lisame täienduse </w:t>
            </w:r>
            <w:r w:rsidR="004252FC">
              <w:t xml:space="preserve">vastavasse punkti. </w:t>
            </w:r>
          </w:p>
        </w:tc>
      </w:tr>
      <w:tr w:rsidR="0053221F" w14:paraId="396667F7" w14:textId="77777777" w:rsidTr="0D24D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0A22CD50" w14:textId="3BCA610B" w:rsidR="0053221F" w:rsidRPr="001C5B52" w:rsidRDefault="0053221F" w:rsidP="0053221F">
            <w:pPr>
              <w:pStyle w:val="BodyText"/>
            </w:pPr>
            <w:r>
              <w:t xml:space="preserve">9. </w:t>
            </w:r>
            <w:r w:rsidRPr="00DB79D4">
              <w:t>KMH programmis (lk 22) on öeldud, et KHG heidet ei hinnata, kuna tehnoloogia ei muutu. Märgime, et kui kasutatakse olemasolevaid andmeid, siis palume need aruandes välja tuua ning kirjeldada tausta ja alusandmeid.</w:t>
            </w:r>
          </w:p>
        </w:tc>
        <w:tc>
          <w:tcPr>
            <w:tcW w:w="7371" w:type="dxa"/>
          </w:tcPr>
          <w:p w14:paraId="3B6A3747" w14:textId="54D24EAB" w:rsidR="00AB5810" w:rsidRDefault="00D54FDE" w:rsidP="0053221F">
            <w:pPr>
              <w:pStyle w:val="BodyText"/>
              <w:cnfStyle w:val="000000100000" w:firstRow="0" w:lastRow="0" w:firstColumn="0" w:lastColumn="0" w:oddVBand="0" w:evenVBand="0" w:oddHBand="1" w:evenHBand="0" w:firstRowFirstColumn="0" w:firstRowLastColumn="0" w:lastRowFirstColumn="0" w:lastRowLastColumn="0"/>
            </w:pPr>
            <w:r>
              <w:t xml:space="preserve">Selgitame, et </w:t>
            </w:r>
            <w:r w:rsidR="00A02943">
              <w:t xml:space="preserve">KHG heidet ei hinnata, kuna </w:t>
            </w:r>
            <w:r w:rsidR="00B8659B">
              <w:t>Enefit 280-2 KMH</w:t>
            </w:r>
            <w:r w:rsidR="00A02943">
              <w:t xml:space="preserve"> aruande</w:t>
            </w:r>
            <w:r w:rsidR="004252FC">
              <w:t xml:space="preserve"> </w:t>
            </w:r>
            <w:proofErr w:type="spellStart"/>
            <w:r w:rsidR="004252FC">
              <w:t>ptk</w:t>
            </w:r>
            <w:proofErr w:type="spellEnd"/>
            <w:r w:rsidR="004252FC">
              <w:t xml:space="preserve"> 4 „mõju kliimamuutustele“ </w:t>
            </w:r>
            <w:r w:rsidR="00B8659B">
              <w:t xml:space="preserve">on </w:t>
            </w:r>
            <w:r w:rsidR="005E16D9">
              <w:t>eraldi välja toodud ka tuha käitlemise CO</w:t>
            </w:r>
            <w:r w:rsidR="005E16D9" w:rsidRPr="00D54FDE">
              <w:rPr>
                <w:vertAlign w:val="subscript"/>
              </w:rPr>
              <w:t>2</w:t>
            </w:r>
            <w:r w:rsidR="005E16D9">
              <w:t xml:space="preserve"> heide</w:t>
            </w:r>
            <w:r>
              <w:t xml:space="preserve">. </w:t>
            </w:r>
            <w:r w:rsidR="00A02943">
              <w:t xml:space="preserve">St, et tuhakäitlemise </w:t>
            </w:r>
            <w:r w:rsidR="00705709">
              <w:t>KHG heidet on piisavas mahus käsitletud</w:t>
            </w:r>
            <w:r w:rsidR="00D212DD">
              <w:t xml:space="preserve"> ja </w:t>
            </w:r>
            <w:r w:rsidR="00AB5810">
              <w:t xml:space="preserve">seda nii </w:t>
            </w:r>
            <w:r w:rsidR="00283405">
              <w:t xml:space="preserve">maksimaalse võimaliku aastase tootmismahu baasil </w:t>
            </w:r>
            <w:r w:rsidR="00D212DD">
              <w:t>kui</w:t>
            </w:r>
            <w:r w:rsidR="00283405">
              <w:t xml:space="preserve"> </w:t>
            </w:r>
            <w:r w:rsidR="00D212DD">
              <w:t xml:space="preserve">realistliku </w:t>
            </w:r>
            <w:r w:rsidR="00283405">
              <w:t xml:space="preserve">tootmismahu baasil. </w:t>
            </w:r>
            <w:r w:rsidR="00D212DD">
              <w:t>Tulem</w:t>
            </w:r>
            <w:r w:rsidR="00F671A4">
              <w:t>us</w:t>
            </w:r>
            <w:r w:rsidR="00D212DD">
              <w:t>ed</w:t>
            </w:r>
            <w:r w:rsidR="00104FC9">
              <w:t xml:space="preserve"> koos heitetegurite ja muude eelduste selgitustega</w:t>
            </w:r>
            <w:r w:rsidR="00D212DD">
              <w:t xml:space="preserve"> on esitatud </w:t>
            </w:r>
            <w:r w:rsidR="00BB0780">
              <w:t xml:space="preserve">E280-2 KMH aruande </w:t>
            </w:r>
            <w:r w:rsidR="00F671A4">
              <w:t>tabelis 4.2 ja 4.3. Tuha</w:t>
            </w:r>
            <w:r w:rsidR="0056092E">
              <w:t xml:space="preserve">käitluse koguheide maksimaalse stsenaariumi järgi on </w:t>
            </w:r>
            <w:r w:rsidR="0056092E" w:rsidRPr="0056092E">
              <w:t>22 621.4</w:t>
            </w:r>
            <w:r w:rsidR="009801D0">
              <w:t xml:space="preserve"> CO2ekv </w:t>
            </w:r>
            <w:r w:rsidR="00791E82">
              <w:t xml:space="preserve">tonni ja realistliku stsenaariumi järgi </w:t>
            </w:r>
            <w:r w:rsidR="00714B00">
              <w:t>19 817,2 CO2ekv tonni.</w:t>
            </w:r>
          </w:p>
          <w:p w14:paraId="4D1C04F9" w14:textId="77777777" w:rsidR="00D9642E" w:rsidRDefault="00714B00" w:rsidP="0053221F">
            <w:pPr>
              <w:pStyle w:val="BodyText"/>
              <w:cnfStyle w:val="000000100000" w:firstRow="0" w:lastRow="0" w:firstColumn="0" w:lastColumn="0" w:oddVBand="0" w:evenVBand="0" w:oddHBand="1" w:evenHBand="0" w:firstRowFirstColumn="0" w:firstRowLastColumn="0" w:lastRowFirstColumn="0" w:lastRowLastColumn="0"/>
              <w:rPr>
                <w:color w:val="FF0000"/>
              </w:rPr>
            </w:pPr>
            <w:r>
              <w:t>Enefit 280-2 KMH</w:t>
            </w:r>
            <w:r w:rsidR="006C1DE5">
              <w:t xml:space="preserve"> CO2</w:t>
            </w:r>
            <w:r>
              <w:t xml:space="preserve"> </w:t>
            </w:r>
            <w:r w:rsidR="006C1DE5">
              <w:t>h</w:t>
            </w:r>
            <w:r w:rsidR="00D9642E" w:rsidRPr="00D9642E">
              <w:t>indamisel ja arvutuste tegemiseks vajalike eelduste puhul on aluseks võetud andmed 2021. a seisuga</w:t>
            </w:r>
            <w:r w:rsidR="009122FB">
              <w:t xml:space="preserve">, kuid tänaste mahtude juures ei ole </w:t>
            </w:r>
            <w:r w:rsidR="009122FB" w:rsidRPr="00FA0D55">
              <w:t xml:space="preserve">need suurenenud. </w:t>
            </w:r>
          </w:p>
          <w:p w14:paraId="742B3A3F" w14:textId="5883CBEB" w:rsidR="006C1DE5" w:rsidRPr="006C1DE5" w:rsidRDefault="006C1DE5" w:rsidP="0053221F">
            <w:pPr>
              <w:pStyle w:val="BodyText"/>
              <w:cnfStyle w:val="000000100000" w:firstRow="0" w:lastRow="0" w:firstColumn="0" w:lastColumn="0" w:oddVBand="0" w:evenVBand="0" w:oddHBand="1" w:evenHBand="0" w:firstRowFirstColumn="0" w:firstRowLastColumn="0" w:lastRowFirstColumn="0" w:lastRowLastColumn="0"/>
            </w:pPr>
            <w:r>
              <w:t>KMH programmi</w:t>
            </w:r>
            <w:r w:rsidR="00C62A65">
              <w:t>s tuuakse välja varasema hindamise tulemused</w:t>
            </w:r>
            <w:r w:rsidR="00104FC9">
              <w:t xml:space="preserve"> (tausta ja alusandmetega). </w:t>
            </w:r>
          </w:p>
        </w:tc>
      </w:tr>
      <w:tr w:rsidR="0053221F" w14:paraId="6FE9C389" w14:textId="77777777" w:rsidTr="0D24DF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28AF49EC" w14:textId="7DF1CBEA" w:rsidR="0053221F" w:rsidRPr="001C5B52" w:rsidRDefault="0053221F" w:rsidP="0053221F">
            <w:pPr>
              <w:pStyle w:val="BodyText"/>
            </w:pPr>
            <w:r>
              <w:t xml:space="preserve">10. </w:t>
            </w:r>
            <w:r w:rsidRPr="00DB79D4">
              <w:t>KMH programmis on täielikult käsitlemata Lodu käpaliste püsielupaik</w:t>
            </w:r>
            <w:r>
              <w:rPr>
                <w:rStyle w:val="FootnoteReference"/>
              </w:rPr>
              <w:footnoteReference w:id="3"/>
            </w:r>
            <w:r w:rsidRPr="00DB79D4">
              <w:t xml:space="preserve"> ja </w:t>
            </w:r>
            <w:proofErr w:type="spellStart"/>
            <w:r w:rsidRPr="00DB79D4">
              <w:t>Auvere</w:t>
            </w:r>
            <w:proofErr w:type="spellEnd"/>
            <w:r w:rsidRPr="00DB79D4">
              <w:t xml:space="preserve"> </w:t>
            </w:r>
            <w:proofErr w:type="spellStart"/>
            <w:r w:rsidRPr="00DB79D4">
              <w:t>virgiinia</w:t>
            </w:r>
            <w:proofErr w:type="spellEnd"/>
            <w:r w:rsidRPr="00DB79D4">
              <w:t xml:space="preserve"> võtmeheina püsielupaik</w:t>
            </w:r>
            <w:r>
              <w:rPr>
                <w:rStyle w:val="FootnoteReference"/>
              </w:rPr>
              <w:footnoteReference w:id="4"/>
            </w:r>
            <w:r w:rsidRPr="00DB79D4">
              <w:t>. Palume programmi täiendada ja hinnata võimalikke mõjusid ka nendele aladele ja aladel elavatele kaitsealustele liikidele.</w:t>
            </w:r>
          </w:p>
        </w:tc>
        <w:tc>
          <w:tcPr>
            <w:tcW w:w="7371" w:type="dxa"/>
          </w:tcPr>
          <w:p w14:paraId="7829B327" w14:textId="77777777" w:rsidR="00B67FAB" w:rsidRDefault="00A54360" w:rsidP="0053221F">
            <w:pPr>
              <w:pStyle w:val="BodyText"/>
              <w:cnfStyle w:val="000000010000" w:firstRow="0" w:lastRow="0" w:firstColumn="0" w:lastColumn="0" w:oddVBand="0" w:evenVBand="0" w:oddHBand="0" w:evenHBand="1" w:firstRowFirstColumn="0" w:firstRowLastColumn="0" w:lastRowFirstColumn="0" w:lastRowLastColumn="0"/>
            </w:pPr>
            <w:r>
              <w:t>KMH programmi lisatakse vastavad täiendused.</w:t>
            </w:r>
            <w:r w:rsidR="00B67FAB">
              <w:t xml:space="preserve"> </w:t>
            </w:r>
          </w:p>
          <w:p w14:paraId="67B39862" w14:textId="3B9EB92B" w:rsidR="0053221F" w:rsidRPr="001C5B52" w:rsidRDefault="007557C9" w:rsidP="0053221F">
            <w:pPr>
              <w:pStyle w:val="BodyText"/>
              <w:cnfStyle w:val="000000010000" w:firstRow="0" w:lastRow="0" w:firstColumn="0" w:lastColumn="0" w:oddVBand="0" w:evenVBand="0" w:oddHBand="0" w:evenHBand="1" w:firstRowFirstColumn="0" w:firstRowLastColumn="0" w:lastRowFirstColumn="0" w:lastRowLastColumn="0"/>
            </w:pPr>
            <w:r>
              <w:t>Mõju</w:t>
            </w:r>
            <w:r w:rsidR="00A25EBC">
              <w:t>de hindamine</w:t>
            </w:r>
            <w:r>
              <w:t xml:space="preserve"> </w:t>
            </w:r>
            <w:r w:rsidR="00A25EBC">
              <w:t xml:space="preserve">looduskeskkonnale lisatakse tingimuslikult, st </w:t>
            </w:r>
            <w:r w:rsidR="00B67FAB" w:rsidRPr="001A415C">
              <w:t xml:space="preserve">käsitletakse üksnes tingimusel, kui need osutuvad vajalikuks lähtuvalt hindamise tulemusel tekkivatest täiendavatest </w:t>
            </w:r>
            <w:r w:rsidR="00B67FAB">
              <w:t>alternatiividest</w:t>
            </w:r>
            <w:r w:rsidR="00A25EBC">
              <w:t>/variantidest</w:t>
            </w:r>
            <w:r w:rsidR="00B67FAB">
              <w:t>, mille puhul vastav mõjuvaldkond on asjakohane.</w:t>
            </w:r>
          </w:p>
        </w:tc>
      </w:tr>
      <w:tr w:rsidR="005B66F2" w14:paraId="497331B4" w14:textId="77777777" w:rsidTr="0D24D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2EAF624C" w14:textId="317EF65B" w:rsidR="005B66F2" w:rsidRPr="007F0606" w:rsidRDefault="005B66F2" w:rsidP="0053221F">
            <w:pPr>
              <w:pStyle w:val="BodyText"/>
            </w:pPr>
            <w:r>
              <w:t xml:space="preserve">11. </w:t>
            </w:r>
            <w:r w:rsidRPr="00DB79D4">
              <w:t xml:space="preserve">Palume hinnata kas tuhavälja kõrguse suurenemisega võivad tuhaosakesed kanduda tuule abil kaitsealuste looma- ja taimeliikide elupaikadesse ja kas sellel võib olla olulist ebasoodsat mõju. Tuha ja </w:t>
            </w:r>
            <w:r w:rsidRPr="00DB79D4">
              <w:lastRenderedPageBreak/>
              <w:t>põlevkiviosakeste kandumine kaitsealuste liikide elupaikadesse võib hakata kooslusi mõjutama ja kaitsealuste liikide seisund võib halveneda.</w:t>
            </w:r>
          </w:p>
        </w:tc>
        <w:tc>
          <w:tcPr>
            <w:tcW w:w="7371" w:type="dxa"/>
            <w:vMerge w:val="restart"/>
          </w:tcPr>
          <w:p w14:paraId="2F8AD86B" w14:textId="0FBE99A7" w:rsidR="005B66F2" w:rsidRPr="00F1069E" w:rsidRDefault="005B66F2" w:rsidP="0053221F">
            <w:pPr>
              <w:pStyle w:val="BodyText"/>
              <w:cnfStyle w:val="000000100000" w:firstRow="0" w:lastRow="0" w:firstColumn="0" w:lastColumn="0" w:oddVBand="0" w:evenVBand="0" w:oddHBand="1" w:evenHBand="0" w:firstRowFirstColumn="0" w:firstRowLastColumn="0" w:lastRowFirstColumn="0" w:lastRowLastColumn="0"/>
            </w:pPr>
            <w:r>
              <w:lastRenderedPageBreak/>
              <w:t>Hinnatakse valdkonna „</w:t>
            </w:r>
            <w:r w:rsidRPr="00F1069E">
              <w:t xml:space="preserve">Mõju välisõhu seisundile, sh võimalike lõhnaainete levik ning selle võimalik mõju inimese tervisele ja keskkonnale“ all. </w:t>
            </w:r>
          </w:p>
          <w:p w14:paraId="50C49647" w14:textId="77777777" w:rsidR="005B66F2" w:rsidRPr="007F0606" w:rsidRDefault="005B66F2" w:rsidP="0053221F">
            <w:pPr>
              <w:pStyle w:val="BodyText"/>
              <w:cnfStyle w:val="000000100000" w:firstRow="0" w:lastRow="0" w:firstColumn="0" w:lastColumn="0" w:oddVBand="0" w:evenVBand="0" w:oddHBand="1" w:evenHBand="0" w:firstRowFirstColumn="0" w:firstRowLastColumn="0" w:lastRowFirstColumn="0" w:lastRowLastColumn="0"/>
            </w:pPr>
            <w:r>
              <w:lastRenderedPageBreak/>
              <w:t>Seejuures võetakse täiendav eksperthinnang Marko Kaasikult (atmosfäärifüüsik, sh õ</w:t>
            </w:r>
            <w:r w:rsidRPr="003A0562">
              <w:t>husaaste hajuvusarvutuste tarkvara AEROPOL väljatöötaja</w:t>
            </w:r>
            <w:r>
              <w:t>) t</w:t>
            </w:r>
            <w:r w:rsidRPr="003A0562">
              <w:t>uhaladestu laiendamise võimalik</w:t>
            </w:r>
            <w:r>
              <w:t>u</w:t>
            </w:r>
            <w:r w:rsidRPr="003A0562">
              <w:t xml:space="preserve"> mõju</w:t>
            </w:r>
            <w:r>
              <w:t xml:space="preserve"> kohta</w:t>
            </w:r>
            <w:r w:rsidRPr="003A0562">
              <w:t xml:space="preserve"> </w:t>
            </w:r>
            <w:r>
              <w:t>piirkonna</w:t>
            </w:r>
            <w:r w:rsidRPr="003A0562">
              <w:t xml:space="preserve"> valdavatele tuulte kiirustele ja suundadele ja sellest tulenev</w:t>
            </w:r>
            <w:r>
              <w:t>a</w:t>
            </w:r>
            <w:r w:rsidRPr="003A0562">
              <w:t xml:space="preserve"> mõju </w:t>
            </w:r>
            <w:r>
              <w:t xml:space="preserve">kohta </w:t>
            </w:r>
            <w:r w:rsidRPr="003A0562">
              <w:t>õhusaaste leviku</w:t>
            </w:r>
            <w:r>
              <w:t>le</w:t>
            </w:r>
            <w:r w:rsidRPr="003A0562">
              <w:t>.</w:t>
            </w:r>
            <w:r>
              <w:t xml:space="preserve"> </w:t>
            </w:r>
          </w:p>
          <w:p w14:paraId="195ABF8D" w14:textId="12B53314" w:rsidR="005B66F2" w:rsidRPr="007F0606" w:rsidRDefault="000C1D3E" w:rsidP="0053221F">
            <w:pPr>
              <w:pStyle w:val="BodyText"/>
              <w:cnfStyle w:val="000000100000" w:firstRow="0" w:lastRow="0" w:firstColumn="0" w:lastColumn="0" w:oddVBand="0" w:evenVBand="0" w:oddHBand="1" w:evenHBand="0" w:firstRowFirstColumn="0" w:firstRowLastColumn="0" w:lastRowFirstColumn="0" w:lastRowLastColumn="0"/>
            </w:pPr>
            <w:r>
              <w:t xml:space="preserve">Programmi täiendatakse vastavalt. </w:t>
            </w:r>
          </w:p>
        </w:tc>
      </w:tr>
      <w:tr w:rsidR="005B66F2" w14:paraId="786A7F50" w14:textId="77777777" w:rsidTr="0D24DF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28F6582A" w14:textId="19870805" w:rsidR="005B66F2" w:rsidRPr="00FD1266" w:rsidRDefault="005B66F2" w:rsidP="0053221F">
            <w:pPr>
              <w:pStyle w:val="BodyText"/>
            </w:pPr>
            <w:r>
              <w:lastRenderedPageBreak/>
              <w:t xml:space="preserve">12. </w:t>
            </w:r>
            <w:r w:rsidRPr="00DB79D4">
              <w:t>Lisaks püsielupaikadele tuleb võimaliku tolmusaaste mõju analüüsida tuhaväljast põhjas olevale Kõrgesoole ja sealsetele liikidele.</w:t>
            </w:r>
          </w:p>
        </w:tc>
        <w:tc>
          <w:tcPr>
            <w:tcW w:w="7371" w:type="dxa"/>
            <w:vMerge/>
          </w:tcPr>
          <w:p w14:paraId="0DA119E1" w14:textId="472BF29D" w:rsidR="005B66F2" w:rsidRPr="007F0606" w:rsidRDefault="005B66F2" w:rsidP="0053221F">
            <w:pPr>
              <w:pStyle w:val="BodyText"/>
              <w:cnfStyle w:val="000000010000" w:firstRow="0" w:lastRow="0" w:firstColumn="0" w:lastColumn="0" w:oddVBand="0" w:evenVBand="0" w:oddHBand="0" w:evenHBand="1" w:firstRowFirstColumn="0" w:firstRowLastColumn="0" w:lastRowFirstColumn="0" w:lastRowLastColumn="0"/>
            </w:pPr>
          </w:p>
        </w:tc>
      </w:tr>
      <w:tr w:rsidR="005B66F2" w14:paraId="642D441B" w14:textId="77777777" w:rsidTr="0D24D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682B3DED" w14:textId="1F25BC19" w:rsidR="005B66F2" w:rsidRDefault="005B66F2" w:rsidP="0053221F">
            <w:pPr>
              <w:pStyle w:val="BodyText"/>
            </w:pPr>
            <w:r>
              <w:t xml:space="preserve">13. </w:t>
            </w:r>
            <w:r w:rsidRPr="00DB79D4">
              <w:t>Palume hinnata kas tuhavälja kõrguse suurenemisega võivad tuhaosakesed kanduda tuule abil senisest suuremas mahus Narva jõkke ja mõjutada seeläbi veekogu veekvaliteeti, mis omakorda võib mõjutada negatiivselt vee-elustiku, kaasa arvatud kaitsealuste kalaliikide seisundit.</w:t>
            </w:r>
          </w:p>
        </w:tc>
        <w:tc>
          <w:tcPr>
            <w:tcW w:w="7371" w:type="dxa"/>
            <w:vMerge/>
          </w:tcPr>
          <w:p w14:paraId="5DF391CD" w14:textId="2229DA6B" w:rsidR="005B66F2" w:rsidRDefault="005B66F2" w:rsidP="0053221F">
            <w:pPr>
              <w:pStyle w:val="BodyText"/>
              <w:cnfStyle w:val="000000100000" w:firstRow="0" w:lastRow="0" w:firstColumn="0" w:lastColumn="0" w:oddVBand="0" w:evenVBand="0" w:oddHBand="1" w:evenHBand="0" w:firstRowFirstColumn="0" w:firstRowLastColumn="0" w:lastRowFirstColumn="0" w:lastRowLastColumn="0"/>
            </w:pPr>
          </w:p>
        </w:tc>
      </w:tr>
      <w:tr w:rsidR="000C1D3E" w14:paraId="0F4F3332" w14:textId="77777777" w:rsidTr="0D24DF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203FD7F5" w14:textId="38D9F25A" w:rsidR="000C1D3E" w:rsidRPr="007F0606" w:rsidRDefault="000C1D3E" w:rsidP="000C1D3E">
            <w:pPr>
              <w:pStyle w:val="BodyText"/>
            </w:pPr>
            <w:r>
              <w:t xml:space="preserve">14. </w:t>
            </w:r>
            <w:r w:rsidRPr="00DB79D4">
              <w:t>Palume hinnata ka võimaliku õnnetuse tagajärjel tekkiva veereostuse riski.</w:t>
            </w:r>
          </w:p>
        </w:tc>
        <w:tc>
          <w:tcPr>
            <w:tcW w:w="7371" w:type="dxa"/>
          </w:tcPr>
          <w:p w14:paraId="166DD9F4" w14:textId="4706A558" w:rsidR="000C1D3E" w:rsidRPr="000C1D3E" w:rsidRDefault="000C1D3E" w:rsidP="000C1D3E">
            <w:pPr>
              <w:pStyle w:val="BodyText"/>
              <w:cnfStyle w:val="000000010000" w:firstRow="0" w:lastRow="0" w:firstColumn="0" w:lastColumn="0" w:oddVBand="0" w:evenVBand="0" w:oddHBand="0" w:evenHBand="1" w:firstRowFirstColumn="0" w:firstRowLastColumn="0" w:lastRowFirstColumn="0" w:lastRowLastColumn="0"/>
            </w:pPr>
            <w:r w:rsidRPr="000C1D3E">
              <w:t>Tegevusega kaasnevate õnnetus- ja avariijuhtumite riskide ja nende mõju</w:t>
            </w:r>
            <w:r w:rsidR="006E5E25">
              <w:t xml:space="preserve"> hindamisse lisatakse </w:t>
            </w:r>
            <w:r w:rsidR="009D6C62" w:rsidRPr="009D6C62">
              <w:t>õnnetuse tagajärjel tekkiva veereostuse riski</w:t>
            </w:r>
            <w:r w:rsidR="009D6C62">
              <w:t xml:space="preserve"> hindamine. </w:t>
            </w:r>
          </w:p>
        </w:tc>
      </w:tr>
      <w:tr w:rsidR="000C1D3E" w14:paraId="62239C25" w14:textId="77777777" w:rsidTr="0D24D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72BB0897" w14:textId="29E481A7" w:rsidR="000C1D3E" w:rsidRPr="007F0606" w:rsidRDefault="000C1D3E" w:rsidP="000C1D3E">
            <w:pPr>
              <w:pStyle w:val="BodyText"/>
            </w:pPr>
            <w:r>
              <w:t xml:space="preserve">15. KMH programmi (lk 36) on viidatud kasutatud kirjanduse riiklike andmebaaside loetelus keskkonnaregistrile. Samuti on viidatud keskkonnaregistrile </w:t>
            </w:r>
            <w:proofErr w:type="spellStart"/>
            <w:r>
              <w:t>ptk-s</w:t>
            </w:r>
            <w:proofErr w:type="spellEnd"/>
            <w:r>
              <w:t xml:space="preserve"> 3.2.2. Märgime, et keskkonnaregistri seadus tunnistati kehtetuks 2022. aastal, mistõttu on keskkonnaregistri asemel korrektsem viidata Eesti looduse infosüsteemile (EELIS, Keskkonnaagentuur).</w:t>
            </w:r>
          </w:p>
        </w:tc>
        <w:tc>
          <w:tcPr>
            <w:tcW w:w="7371" w:type="dxa"/>
          </w:tcPr>
          <w:p w14:paraId="0C45859D" w14:textId="0E4CB51B" w:rsidR="000C1D3E" w:rsidRPr="007F0606" w:rsidRDefault="00EF0FE6" w:rsidP="000C1D3E">
            <w:pPr>
              <w:pStyle w:val="BodyText"/>
              <w:cnfStyle w:val="000000100000" w:firstRow="0" w:lastRow="0" w:firstColumn="0" w:lastColumn="0" w:oddVBand="0" w:evenVBand="0" w:oddHBand="1" w:evenHBand="0" w:firstRowFirstColumn="0" w:firstRowLastColumn="0" w:lastRowFirstColumn="0" w:lastRowLastColumn="0"/>
            </w:pPr>
            <w:r>
              <w:t xml:space="preserve">Ettepanekuga arvestatakse, parandused viiakse sisse. </w:t>
            </w:r>
            <w:r w:rsidR="0090468A">
              <w:t>Märgime, et kasutatud kirjanduse loetelus oli mõeldud Eesti keskkonna andmete portaali (</w:t>
            </w:r>
            <w:hyperlink r:id="rId11" w:history="1">
              <w:r w:rsidR="00501ED9" w:rsidRPr="002A2F12">
                <w:rPr>
                  <w:rStyle w:val="Hyperlink"/>
                </w:rPr>
                <w:t>https://keskkonnaportaal.ee/et</w:t>
              </w:r>
            </w:hyperlink>
            <w:r w:rsidR="00501ED9">
              <w:t xml:space="preserve">). </w:t>
            </w:r>
          </w:p>
        </w:tc>
      </w:tr>
      <w:tr w:rsidR="000C1D3E" w14:paraId="15F623B3" w14:textId="77777777" w:rsidTr="0D24DF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6FE50694" w14:textId="70B0D316" w:rsidR="000C1D3E" w:rsidRDefault="000C1D3E" w:rsidP="000C1D3E">
            <w:pPr>
              <w:pStyle w:val="BodyText"/>
            </w:pPr>
            <w:r>
              <w:t xml:space="preserve">16. </w:t>
            </w:r>
            <w:r w:rsidRPr="00DB79D4">
              <w:t xml:space="preserve">Palume korrigeerida programmi </w:t>
            </w:r>
            <w:proofErr w:type="spellStart"/>
            <w:r w:rsidRPr="00DB79D4">
              <w:t>ptk-i</w:t>
            </w:r>
            <w:proofErr w:type="spellEnd"/>
            <w:r w:rsidRPr="00DB79D4">
              <w:t xml:space="preserve"> 5 (lk 22) esimese lõigu </w:t>
            </w:r>
            <w:proofErr w:type="spellStart"/>
            <w:r w:rsidRPr="00DB79D4">
              <w:t>KeHJS</w:t>
            </w:r>
            <w:proofErr w:type="spellEnd"/>
            <w:r w:rsidRPr="00DB79D4">
              <w:t xml:space="preserve"> §-i viidet.</w:t>
            </w:r>
          </w:p>
        </w:tc>
        <w:tc>
          <w:tcPr>
            <w:tcW w:w="7371" w:type="dxa"/>
          </w:tcPr>
          <w:p w14:paraId="403A41AB" w14:textId="23CFA1F9" w:rsidR="000C1D3E" w:rsidRPr="007F0606" w:rsidRDefault="00864DA1" w:rsidP="000C1D3E">
            <w:pPr>
              <w:pStyle w:val="BodyText"/>
              <w:cnfStyle w:val="000000010000" w:firstRow="0" w:lastRow="0" w:firstColumn="0" w:lastColumn="0" w:oddVBand="0" w:evenVBand="0" w:oddHBand="0" w:evenHBand="1" w:firstRowFirstColumn="0" w:firstRowLastColumn="0" w:lastRowFirstColumn="0" w:lastRowLastColumn="0"/>
            </w:pPr>
            <w:r>
              <w:t>Viide korrektsele paragrahvile (§ 3</w:t>
            </w:r>
            <w:r w:rsidRPr="00864DA1">
              <w:rPr>
                <w:vertAlign w:val="superscript"/>
              </w:rPr>
              <w:t>1</w:t>
            </w:r>
            <w:r>
              <w:t xml:space="preserve">, mitte </w:t>
            </w:r>
            <w:r w:rsidR="000865A9">
              <w:t xml:space="preserve">§ </w:t>
            </w:r>
            <w:r>
              <w:t xml:space="preserve">31) viiakse sisse. </w:t>
            </w:r>
          </w:p>
        </w:tc>
      </w:tr>
      <w:tr w:rsidR="000C1D3E" w14:paraId="733D0BAC" w14:textId="77777777" w:rsidTr="0D24D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4" w:type="dxa"/>
            <w:gridSpan w:val="2"/>
          </w:tcPr>
          <w:p w14:paraId="1139D8C1" w14:textId="25EE7DE4" w:rsidR="000C1D3E" w:rsidRPr="00676D0B" w:rsidRDefault="000C1D3E" w:rsidP="000C1D3E">
            <w:pPr>
              <w:pStyle w:val="BodyText"/>
              <w:rPr>
                <w:b/>
                <w:bCs w:val="0"/>
              </w:rPr>
            </w:pPr>
            <w:r w:rsidRPr="00676D0B">
              <w:rPr>
                <w:b/>
                <w:bCs w:val="0"/>
              </w:rPr>
              <w:t>Maa- ja Ruumiamet (17.02.2025 nr 6-3/25/428-3)</w:t>
            </w:r>
          </w:p>
        </w:tc>
      </w:tr>
      <w:tr w:rsidR="000C1D3E" w14:paraId="6CD1B49C" w14:textId="77777777" w:rsidTr="0D24DF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4" w:type="dxa"/>
            <w:gridSpan w:val="2"/>
          </w:tcPr>
          <w:p w14:paraId="2F5BB8EA" w14:textId="4E67D10F" w:rsidR="000C1D3E" w:rsidRPr="007F0606" w:rsidRDefault="000C1D3E" w:rsidP="000C1D3E">
            <w:pPr>
              <w:pStyle w:val="BodyText"/>
            </w:pPr>
            <w:r w:rsidRPr="00676D0B">
              <w:lastRenderedPageBreak/>
              <w:t xml:space="preserve">Tutvunud esitatud materjalidega, märgime </w:t>
            </w:r>
            <w:proofErr w:type="spellStart"/>
            <w:r w:rsidRPr="00676D0B">
              <w:t>MaRu</w:t>
            </w:r>
            <w:proofErr w:type="spellEnd"/>
            <w:r w:rsidRPr="00676D0B">
              <w:t xml:space="preserve"> ruumilise planeerimise pädevusvaldkonnast (lähtudes maakonnaplaneeringuga seonduvast), et Enefit Power AS Eesti elektrijaama tuhaväljaku laiendamise KHM programmi eelnõu on kooskõlas Ida-Viru maakonnaplaneeringus 2030+ sätestatud üldpõhimõtetega.</w:t>
            </w:r>
          </w:p>
        </w:tc>
      </w:tr>
      <w:tr w:rsidR="000C1D3E" w14:paraId="2B97CC6D" w14:textId="77777777" w:rsidTr="0D24D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4" w:type="dxa"/>
            <w:gridSpan w:val="2"/>
          </w:tcPr>
          <w:p w14:paraId="7A8A6D80" w14:textId="2E576F37" w:rsidR="000C1D3E" w:rsidRPr="007F0606" w:rsidRDefault="000C1D3E" w:rsidP="000C1D3E">
            <w:pPr>
              <w:pStyle w:val="BodyText"/>
            </w:pPr>
            <w:r w:rsidRPr="005B505B">
              <w:rPr>
                <w:b/>
                <w:bCs w:val="0"/>
              </w:rPr>
              <w:t>Keskkonnaagentuur (13.02.2025 nr 6-6/25/44-2)</w:t>
            </w:r>
          </w:p>
        </w:tc>
      </w:tr>
      <w:tr w:rsidR="000C1D3E" w14:paraId="0CE73194" w14:textId="77777777" w:rsidTr="0D24DF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1943FB1A" w14:textId="77777777" w:rsidR="000C1D3E" w:rsidRDefault="000C1D3E" w:rsidP="000C1D3E">
            <w:pPr>
              <w:pStyle w:val="BodyText"/>
              <w:rPr>
                <w:bCs w:val="0"/>
              </w:rPr>
            </w:pPr>
            <w:r>
              <w:t xml:space="preserve">1. </w:t>
            </w:r>
            <w:r w:rsidRPr="00B66622">
              <w:t xml:space="preserve">Programmis (lk. 12-13) on mainitud, et Narva jõgi on tööstuslikus kasutuses olnud vee suublaks. </w:t>
            </w:r>
            <w:r w:rsidRPr="00D90A6E">
              <w:t xml:space="preserve">Palume lisada keskkonnamõju hindamise programmi heitvee väljalasu ning Narva jõe seirepunkti koordinaadid. </w:t>
            </w:r>
          </w:p>
          <w:p w14:paraId="22C4BB4A" w14:textId="38A12638" w:rsidR="000C1D3E" w:rsidRDefault="000C1D3E" w:rsidP="000C1D3E">
            <w:pPr>
              <w:pStyle w:val="BodyText"/>
            </w:pPr>
            <w:r w:rsidRPr="00D90A6E">
              <w:t>Lisaks, kas tuhaväljaku laienemisega on ette näha heitvee mahtude suurenemist, mille põhjal võiks eeldada ka suuremat koormust veekeskkonnale?</w:t>
            </w:r>
          </w:p>
        </w:tc>
        <w:tc>
          <w:tcPr>
            <w:tcW w:w="7371" w:type="dxa"/>
          </w:tcPr>
          <w:p w14:paraId="6179F4E7" w14:textId="77777777" w:rsidR="003F3A73" w:rsidRDefault="005A0D2A" w:rsidP="000C1D3E">
            <w:pPr>
              <w:pStyle w:val="BodyText"/>
              <w:cnfStyle w:val="000000010000" w:firstRow="0" w:lastRow="0" w:firstColumn="0" w:lastColumn="0" w:oddVBand="0" w:evenVBand="0" w:oddHBand="0" w:evenHBand="1" w:firstRowFirstColumn="0" w:firstRowLastColumn="0" w:lastRowFirstColumn="0" w:lastRowLastColumn="0"/>
            </w:pPr>
            <w:r>
              <w:t xml:space="preserve">Selgitame, et </w:t>
            </w:r>
            <w:r w:rsidR="00CA4CCA">
              <w:t xml:space="preserve">viidatud lause lk 12-13 on toodud Narva jõe kohta laiemalt. Vastavalt Enefit Power AS Eesti elektrijaama keskkonnakaitseloale </w:t>
            </w:r>
            <w:r w:rsidR="00CA4CCA" w:rsidRPr="008F2184">
              <w:t>L.KKL.IV-172516</w:t>
            </w:r>
            <w:r w:rsidR="00CA4CCA">
              <w:t xml:space="preserve"> tehakse pinnaveeseiret Narva jões asukohas koordinaatidega </w:t>
            </w:r>
            <w:r w:rsidR="00CA4CCA" w:rsidRPr="0019553D">
              <w:t>X: 6575340, Y: 723872</w:t>
            </w:r>
            <w:r w:rsidR="00CA4CCA">
              <w:t>. Täpsemad seireandmed on toodud keskkonnakaitseloas.</w:t>
            </w:r>
          </w:p>
          <w:p w14:paraId="0DC22E27" w14:textId="3DB7417A" w:rsidR="00CA4CCA" w:rsidRDefault="001B33F1" w:rsidP="000C1D3E">
            <w:pPr>
              <w:pStyle w:val="BodyText"/>
              <w:cnfStyle w:val="000000010000" w:firstRow="0" w:lastRow="0" w:firstColumn="0" w:lastColumn="0" w:oddVBand="0" w:evenVBand="0" w:oddHBand="0" w:evenHBand="1" w:firstRowFirstColumn="0" w:firstRowLastColumn="0" w:lastRowFirstColumn="0" w:lastRowLastColumn="0"/>
            </w:pPr>
            <w:r>
              <w:t xml:space="preserve">Eesti elektrijaama tuhamäelt ei </w:t>
            </w:r>
            <w:r w:rsidR="003F3A73">
              <w:t>toimu</w:t>
            </w:r>
            <w:r>
              <w:t xml:space="preserve"> käesoleval ajal </w:t>
            </w:r>
            <w:r w:rsidR="00FB7C25">
              <w:t>heitvee suublasse (</w:t>
            </w:r>
            <w:r w:rsidR="00DC10CB">
              <w:t xml:space="preserve">sh </w:t>
            </w:r>
            <w:r w:rsidR="00FB7C25">
              <w:t>Narva jõkke) juhtimi</w:t>
            </w:r>
            <w:r w:rsidR="003F3A73">
              <w:t>st</w:t>
            </w:r>
            <w:r w:rsidR="00FB7C25">
              <w:t xml:space="preserve">. Kogu tuhamäe </w:t>
            </w:r>
            <w:r w:rsidR="00D75DA2">
              <w:t xml:space="preserve">heitvesi ringleb suletud süsteemis ning keskkonda ei pääse. </w:t>
            </w:r>
            <w:r w:rsidR="0010397F">
              <w:t xml:space="preserve"> </w:t>
            </w:r>
            <w:r w:rsidR="00CA4CCA">
              <w:t xml:space="preserve">Tuhamäe edasisel käitamisel </w:t>
            </w:r>
            <w:r w:rsidR="003F3A73">
              <w:t>ei ole</w:t>
            </w:r>
            <w:r w:rsidR="00606B3A">
              <w:t xml:space="preserve"> välistatud</w:t>
            </w:r>
            <w:r w:rsidR="003F3A73">
              <w:t xml:space="preserve">, et tekib </w:t>
            </w:r>
            <w:r w:rsidR="00CA4CCA">
              <w:t>vajadus osa vett puhastada ja suublasse juhtida</w:t>
            </w:r>
            <w:r w:rsidR="00606B3A">
              <w:t xml:space="preserve"> (analoogia Balti elektrijaama tuhaväljaga)</w:t>
            </w:r>
            <w:r w:rsidR="00CA4CCA">
              <w:t>, kuid hetkel  ei ole ja seetõttu ei ole</w:t>
            </w:r>
            <w:r w:rsidR="004F600C">
              <w:t xml:space="preserve"> võimalik</w:t>
            </w:r>
            <w:r w:rsidR="00CA4CCA">
              <w:t xml:space="preserve"> vastavaid koordinaate panna. </w:t>
            </w:r>
          </w:p>
          <w:p w14:paraId="7051CB0A" w14:textId="0E0914A5" w:rsidR="000C1D3E" w:rsidRPr="007F0606" w:rsidRDefault="005C46B7" w:rsidP="000C1D3E">
            <w:pPr>
              <w:pStyle w:val="BodyText"/>
              <w:cnfStyle w:val="000000010000" w:firstRow="0" w:lastRow="0" w:firstColumn="0" w:lastColumn="0" w:oddVBand="0" w:evenVBand="0" w:oddHBand="0" w:evenHBand="1" w:firstRowFirstColumn="0" w:firstRowLastColumn="0" w:lastRowFirstColumn="0" w:lastRowLastColumn="0"/>
            </w:pPr>
            <w:r>
              <w:t xml:space="preserve">KMH programmi täiendatakse selliselt, </w:t>
            </w:r>
            <w:r w:rsidR="001E2BE7">
              <w:t>v</w:t>
            </w:r>
            <w:r>
              <w:t xml:space="preserve">astava vajaduse tekkimisel viiakse läbi </w:t>
            </w:r>
            <w:r w:rsidR="008F501D">
              <w:t>täiendav</w:t>
            </w:r>
            <w:r w:rsidR="001E2BE7">
              <w:t xml:space="preserve"> </w:t>
            </w:r>
            <w:r w:rsidR="001E2BE7" w:rsidRPr="002678E7">
              <w:t>mõju</w:t>
            </w:r>
            <w:r w:rsidR="002678E7" w:rsidRPr="002678E7">
              <w:t xml:space="preserve"> hindamine</w:t>
            </w:r>
            <w:r w:rsidR="001E2BE7" w:rsidRPr="002678E7">
              <w:t xml:space="preserve"> pinnasele ning pinna- ja põhjavee kvaliteedile.</w:t>
            </w:r>
          </w:p>
        </w:tc>
      </w:tr>
      <w:tr w:rsidR="000C1D3E" w14:paraId="34E8B21D" w14:textId="77777777" w:rsidTr="0D24D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3" w:type="dxa"/>
          </w:tcPr>
          <w:p w14:paraId="2944F1A8" w14:textId="3643544C" w:rsidR="000C1D3E" w:rsidRDefault="000C1D3E" w:rsidP="000C1D3E">
            <w:pPr>
              <w:pStyle w:val="BodyText"/>
            </w:pPr>
            <w:r w:rsidRPr="0014659C">
              <w:t>Palume täpsustada tuhavälja laiendamise keskkonnamõju programmi raames teostatava põhjavee uuringu valmimise hinnangulist tähtaega. Arvestades, et antud uuring on oluline põhjavee valdkonna seisundite hindamisel, siis palume edastada see ka Keskkonnaagentuurile.</w:t>
            </w:r>
          </w:p>
        </w:tc>
        <w:tc>
          <w:tcPr>
            <w:tcW w:w="7371" w:type="dxa"/>
          </w:tcPr>
          <w:p w14:paraId="6DE769A5" w14:textId="58777227" w:rsidR="008B6E5D" w:rsidRDefault="00C1618D" w:rsidP="008B6E5D">
            <w:pPr>
              <w:pStyle w:val="BodyText"/>
              <w:cnfStyle w:val="000000100000" w:firstRow="0" w:lastRow="0" w:firstColumn="0" w:lastColumn="0" w:oddVBand="0" w:evenVBand="0" w:oddHBand="1" w:evenHBand="0" w:firstRowFirstColumn="0" w:firstRowLastColumn="0" w:lastRowFirstColumn="0" w:lastRowLastColumn="0"/>
            </w:pPr>
            <w:r>
              <w:t xml:space="preserve">Selgitame, et </w:t>
            </w:r>
            <w:r w:rsidR="008008FF">
              <w:t>KMH p</w:t>
            </w:r>
            <w:r w:rsidR="000C1D3E">
              <w:t xml:space="preserve">rogrammiga ei nähtud ette </w:t>
            </w:r>
            <w:r w:rsidR="008008FF">
              <w:t xml:space="preserve">põhjavee </w:t>
            </w:r>
            <w:r w:rsidR="000C1D3E">
              <w:t>uuringut, vaid seire</w:t>
            </w:r>
            <w:r w:rsidR="00404805">
              <w:t>kava</w:t>
            </w:r>
            <w:r w:rsidR="000C1D3E">
              <w:t xml:space="preserve"> korrastamis</w:t>
            </w:r>
            <w:r w:rsidR="008008FF">
              <w:t>e ettepaneku väljatöötamist</w:t>
            </w:r>
            <w:r>
              <w:t xml:space="preserve">, et </w:t>
            </w:r>
            <w:r w:rsidR="000C1D3E">
              <w:t>sel</w:t>
            </w:r>
            <w:r>
              <w:t>le</w:t>
            </w:r>
            <w:r w:rsidR="000C1D3E">
              <w:t xml:space="preserve"> alusel teha uuringu</w:t>
            </w:r>
            <w:r>
              <w:t>le</w:t>
            </w:r>
            <w:r w:rsidR="000C1D3E">
              <w:t xml:space="preserve"> lähteülesanne. </w:t>
            </w:r>
            <w:r w:rsidR="008B6E5D">
              <w:t>Seire</w:t>
            </w:r>
            <w:r w:rsidR="00404805">
              <w:t>kava</w:t>
            </w:r>
            <w:r w:rsidR="008B6E5D">
              <w:t xml:space="preserve"> muutmise ettepanek esitati Keskkonnaametile keskkonnakompleksloa </w:t>
            </w:r>
            <w:r w:rsidR="008B6E5D" w:rsidRPr="008B6E5D">
              <w:t>L.KKL.IV-172516</w:t>
            </w:r>
            <w:r w:rsidR="008B6E5D">
              <w:t xml:space="preserve"> muutmise käigus</w:t>
            </w:r>
            <w:r w:rsidR="00404805">
              <w:t xml:space="preserve"> ning Keskkonnaamet on uue kava ka kinnitanud.</w:t>
            </w:r>
            <w:r w:rsidR="008B6E5D">
              <w:t xml:space="preserve"> Käesoleval ajal on Enefit Power </w:t>
            </w:r>
            <w:proofErr w:type="spellStart"/>
            <w:r w:rsidR="008B6E5D">
              <w:t>AS-l</w:t>
            </w:r>
            <w:proofErr w:type="spellEnd"/>
            <w:r w:rsidR="008B6E5D">
              <w:t xml:space="preserve"> ettevalmistamisel hange tuhavälja ümbruse põhjavee uuringu teostamiseks. Eeldatav tööde algus on aprillis 2025</w:t>
            </w:r>
            <w:r w:rsidR="00C14F81">
              <w:t>.</w:t>
            </w:r>
          </w:p>
          <w:p w14:paraId="54F778F8" w14:textId="404C7852" w:rsidR="000C1D3E" w:rsidRPr="007F0606" w:rsidRDefault="00C14F81" w:rsidP="000C1D3E">
            <w:pPr>
              <w:pStyle w:val="BodyText"/>
              <w:cnfStyle w:val="000000100000" w:firstRow="0" w:lastRow="0" w:firstColumn="0" w:lastColumn="0" w:oddVBand="0" w:evenVBand="0" w:oddHBand="1" w:evenHBand="0" w:firstRowFirstColumn="0" w:firstRowLastColumn="0" w:lastRowFirstColumn="0" w:lastRowLastColumn="0"/>
            </w:pPr>
            <w:r>
              <w:t xml:space="preserve">Uuringu valmimisel saame selle edastada ka Keskkonnaagentuurile. </w:t>
            </w:r>
          </w:p>
        </w:tc>
      </w:tr>
      <w:tr w:rsidR="000C1D3E" w14:paraId="17E59DB1" w14:textId="77777777" w:rsidTr="0D24DF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4" w:type="dxa"/>
            <w:gridSpan w:val="2"/>
          </w:tcPr>
          <w:p w14:paraId="476F6795" w14:textId="6C5142F6" w:rsidR="000C1D3E" w:rsidRPr="007F0606" w:rsidRDefault="000C1D3E" w:rsidP="000C1D3E">
            <w:pPr>
              <w:pStyle w:val="BodyText"/>
            </w:pPr>
            <w:r w:rsidRPr="005666C5">
              <w:rPr>
                <w:b/>
                <w:bCs w:val="0"/>
              </w:rPr>
              <w:t>Päästeamet (07.02.2025 nr 7.2-3.3/179-1)</w:t>
            </w:r>
          </w:p>
        </w:tc>
      </w:tr>
      <w:tr w:rsidR="000C1D3E" w14:paraId="7B8D505E" w14:textId="77777777" w:rsidTr="0D24D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4" w:type="dxa"/>
            <w:gridSpan w:val="2"/>
          </w:tcPr>
          <w:p w14:paraId="6A989B5E" w14:textId="197070FC" w:rsidR="000C1D3E" w:rsidRPr="007F0606" w:rsidRDefault="000C1D3E" w:rsidP="000C1D3E">
            <w:pPr>
              <w:pStyle w:val="BodyText"/>
            </w:pPr>
            <w:r w:rsidRPr="005666C5">
              <w:lastRenderedPageBreak/>
              <w:t>Päästeameti Ida päästekeskus</w:t>
            </w:r>
            <w:r>
              <w:t xml:space="preserve"> </w:t>
            </w:r>
            <w:r w:rsidRPr="005666C5">
              <w:t>tutvus Enefit Power AS Eesti elektrijaama tuhaväljaku laiendamise keskkonnamõju hindamise programmiga ning Päästeameti Ida päästekeskusel puuduvad KMH programmi osas täiendavad ettepanekud ning vastuväited.</w:t>
            </w:r>
          </w:p>
        </w:tc>
      </w:tr>
    </w:tbl>
    <w:p w14:paraId="681A47F8" w14:textId="77777777" w:rsidR="008A2FA9" w:rsidRDefault="008A2FA9"/>
    <w:sectPr w:rsidR="008A2FA9" w:rsidSect="009B639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4F28F" w14:textId="77777777" w:rsidR="00220AEE" w:rsidRDefault="00220AEE" w:rsidP="00411074">
      <w:r>
        <w:separator/>
      </w:r>
    </w:p>
  </w:endnote>
  <w:endnote w:type="continuationSeparator" w:id="0">
    <w:p w14:paraId="12BA0210" w14:textId="77777777" w:rsidR="00220AEE" w:rsidRDefault="00220AEE" w:rsidP="00411074">
      <w:r>
        <w:continuationSeparator/>
      </w:r>
    </w:p>
  </w:endnote>
  <w:endnote w:type="continuationNotice" w:id="1">
    <w:p w14:paraId="324B5581" w14:textId="77777777" w:rsidR="00220AEE" w:rsidRDefault="00220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rimson Pro">
    <w:altName w:val="Calibri"/>
    <w:charset w:val="00"/>
    <w:family w:val="auto"/>
    <w:pitch w:val="variable"/>
    <w:sig w:usb0="A00000FF" w:usb1="5000E04B" w:usb2="00000000" w:usb3="00000000" w:csb0="00000193"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BA"/>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F9498" w14:textId="77777777" w:rsidR="00220AEE" w:rsidRDefault="00220AEE" w:rsidP="00411074">
      <w:r>
        <w:separator/>
      </w:r>
    </w:p>
  </w:footnote>
  <w:footnote w:type="continuationSeparator" w:id="0">
    <w:p w14:paraId="64C3A97F" w14:textId="77777777" w:rsidR="00220AEE" w:rsidRDefault="00220AEE" w:rsidP="00411074">
      <w:r>
        <w:continuationSeparator/>
      </w:r>
    </w:p>
  </w:footnote>
  <w:footnote w:type="continuationNotice" w:id="1">
    <w:p w14:paraId="5AAE49B0" w14:textId="77777777" w:rsidR="00220AEE" w:rsidRDefault="00220AEE"/>
  </w:footnote>
  <w:footnote w:id="2">
    <w:p w14:paraId="15F767E7" w14:textId="5192A0F0" w:rsidR="0053221F" w:rsidRDefault="0053221F">
      <w:pPr>
        <w:pStyle w:val="FootnoteText"/>
      </w:pPr>
      <w:r>
        <w:rPr>
          <w:rStyle w:val="FootnoteReference"/>
        </w:rPr>
        <w:footnoteRef/>
      </w:r>
      <w:r>
        <w:t xml:space="preserve"> </w:t>
      </w:r>
      <w:r w:rsidRPr="009245FA">
        <w:t>Keskkonnaotsuste Infosüsteem KOTKAS 09.09.2024 nr DM-127336-10.</w:t>
      </w:r>
    </w:p>
  </w:footnote>
  <w:footnote w:id="3">
    <w:p w14:paraId="5DB936F3" w14:textId="0B72393B" w:rsidR="0053221F" w:rsidRDefault="0053221F">
      <w:pPr>
        <w:pStyle w:val="FootnoteText"/>
      </w:pPr>
      <w:r>
        <w:rPr>
          <w:rStyle w:val="FootnoteReference"/>
        </w:rPr>
        <w:footnoteRef/>
      </w:r>
      <w:r>
        <w:t xml:space="preserve"> </w:t>
      </w:r>
      <w:r w:rsidRPr="00DB79D4">
        <w:t>EELIS kood KLO3001227</w:t>
      </w:r>
    </w:p>
  </w:footnote>
  <w:footnote w:id="4">
    <w:p w14:paraId="4028CB6A" w14:textId="1BA813A7" w:rsidR="0053221F" w:rsidRDefault="0053221F">
      <w:pPr>
        <w:pStyle w:val="FootnoteText"/>
      </w:pPr>
      <w:r>
        <w:rPr>
          <w:rStyle w:val="FootnoteReference"/>
        </w:rPr>
        <w:footnoteRef/>
      </w:r>
      <w:r>
        <w:t xml:space="preserve"> </w:t>
      </w:r>
      <w:r w:rsidRPr="00DB79D4">
        <w:t>EELIS kood KLO3002702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457EF"/>
    <w:multiLevelType w:val="hybridMultilevel"/>
    <w:tmpl w:val="64FCAAC6"/>
    <w:lvl w:ilvl="0" w:tplc="04250011">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16cid:durableId="826048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74"/>
    <w:rsid w:val="00004027"/>
    <w:rsid w:val="00006ADE"/>
    <w:rsid w:val="00011963"/>
    <w:rsid w:val="00012777"/>
    <w:rsid w:val="00033CA7"/>
    <w:rsid w:val="0003554C"/>
    <w:rsid w:val="00035B59"/>
    <w:rsid w:val="0005749A"/>
    <w:rsid w:val="00060501"/>
    <w:rsid w:val="00062C03"/>
    <w:rsid w:val="00071D28"/>
    <w:rsid w:val="0007332F"/>
    <w:rsid w:val="00074C51"/>
    <w:rsid w:val="00076835"/>
    <w:rsid w:val="000865A9"/>
    <w:rsid w:val="00097737"/>
    <w:rsid w:val="000A5D67"/>
    <w:rsid w:val="000B2564"/>
    <w:rsid w:val="000B4CA5"/>
    <w:rsid w:val="000C1D3E"/>
    <w:rsid w:val="000E7033"/>
    <w:rsid w:val="000F706E"/>
    <w:rsid w:val="0010397F"/>
    <w:rsid w:val="00104BE9"/>
    <w:rsid w:val="00104FC9"/>
    <w:rsid w:val="001114F1"/>
    <w:rsid w:val="001161D3"/>
    <w:rsid w:val="0011625B"/>
    <w:rsid w:val="001337CE"/>
    <w:rsid w:val="00133F7A"/>
    <w:rsid w:val="00134765"/>
    <w:rsid w:val="0014659C"/>
    <w:rsid w:val="0018016F"/>
    <w:rsid w:val="0018429D"/>
    <w:rsid w:val="00185705"/>
    <w:rsid w:val="0018658C"/>
    <w:rsid w:val="0018687F"/>
    <w:rsid w:val="00187B2F"/>
    <w:rsid w:val="00187BBA"/>
    <w:rsid w:val="00194B40"/>
    <w:rsid w:val="0019553D"/>
    <w:rsid w:val="001A010E"/>
    <w:rsid w:val="001A415C"/>
    <w:rsid w:val="001A57FF"/>
    <w:rsid w:val="001B211B"/>
    <w:rsid w:val="001B33F1"/>
    <w:rsid w:val="001D1E28"/>
    <w:rsid w:val="001D4102"/>
    <w:rsid w:val="001E1213"/>
    <w:rsid w:val="001E2BE7"/>
    <w:rsid w:val="001E2EC1"/>
    <w:rsid w:val="001E4CC1"/>
    <w:rsid w:val="001F2864"/>
    <w:rsid w:val="002029F4"/>
    <w:rsid w:val="00205726"/>
    <w:rsid w:val="002072EB"/>
    <w:rsid w:val="002116C0"/>
    <w:rsid w:val="0021742C"/>
    <w:rsid w:val="002175AB"/>
    <w:rsid w:val="00217FE8"/>
    <w:rsid w:val="00220AEE"/>
    <w:rsid w:val="0024036D"/>
    <w:rsid w:val="00240691"/>
    <w:rsid w:val="002454DC"/>
    <w:rsid w:val="0024716E"/>
    <w:rsid w:val="00256661"/>
    <w:rsid w:val="00257B8B"/>
    <w:rsid w:val="00260E23"/>
    <w:rsid w:val="002678E7"/>
    <w:rsid w:val="002706A7"/>
    <w:rsid w:val="00274E2E"/>
    <w:rsid w:val="002756FC"/>
    <w:rsid w:val="00275723"/>
    <w:rsid w:val="002764DC"/>
    <w:rsid w:val="002802A2"/>
    <w:rsid w:val="00280F18"/>
    <w:rsid w:val="00283405"/>
    <w:rsid w:val="00285AC7"/>
    <w:rsid w:val="00291954"/>
    <w:rsid w:val="002969FA"/>
    <w:rsid w:val="002A080F"/>
    <w:rsid w:val="002A6611"/>
    <w:rsid w:val="002A7037"/>
    <w:rsid w:val="002B715C"/>
    <w:rsid w:val="002C1185"/>
    <w:rsid w:val="002D0555"/>
    <w:rsid w:val="002D0D0D"/>
    <w:rsid w:val="002D223E"/>
    <w:rsid w:val="002D6989"/>
    <w:rsid w:val="002E426C"/>
    <w:rsid w:val="002F2389"/>
    <w:rsid w:val="002F2755"/>
    <w:rsid w:val="002F6A10"/>
    <w:rsid w:val="002F6E1D"/>
    <w:rsid w:val="002F7682"/>
    <w:rsid w:val="00311FEE"/>
    <w:rsid w:val="00312C20"/>
    <w:rsid w:val="00312DB5"/>
    <w:rsid w:val="00313B05"/>
    <w:rsid w:val="0031655E"/>
    <w:rsid w:val="00320938"/>
    <w:rsid w:val="0032179C"/>
    <w:rsid w:val="00323FA6"/>
    <w:rsid w:val="00324A50"/>
    <w:rsid w:val="0033324F"/>
    <w:rsid w:val="00340BA5"/>
    <w:rsid w:val="00344FF6"/>
    <w:rsid w:val="003465CD"/>
    <w:rsid w:val="00346FB7"/>
    <w:rsid w:val="003507C4"/>
    <w:rsid w:val="00363EE2"/>
    <w:rsid w:val="003673EE"/>
    <w:rsid w:val="00375E86"/>
    <w:rsid w:val="00381284"/>
    <w:rsid w:val="00385E46"/>
    <w:rsid w:val="00395D19"/>
    <w:rsid w:val="00396D67"/>
    <w:rsid w:val="003A0562"/>
    <w:rsid w:val="003A14F1"/>
    <w:rsid w:val="003B508C"/>
    <w:rsid w:val="003B5793"/>
    <w:rsid w:val="003B7ACC"/>
    <w:rsid w:val="003C1511"/>
    <w:rsid w:val="003D3D56"/>
    <w:rsid w:val="003D5499"/>
    <w:rsid w:val="003D5AC2"/>
    <w:rsid w:val="003E0D50"/>
    <w:rsid w:val="003E4687"/>
    <w:rsid w:val="003E6302"/>
    <w:rsid w:val="003E676F"/>
    <w:rsid w:val="003F1061"/>
    <w:rsid w:val="003F3A73"/>
    <w:rsid w:val="004009F2"/>
    <w:rsid w:val="0040154B"/>
    <w:rsid w:val="00404805"/>
    <w:rsid w:val="00406C04"/>
    <w:rsid w:val="00407845"/>
    <w:rsid w:val="00411074"/>
    <w:rsid w:val="004252FC"/>
    <w:rsid w:val="004306F5"/>
    <w:rsid w:val="004336FA"/>
    <w:rsid w:val="00435617"/>
    <w:rsid w:val="00435F09"/>
    <w:rsid w:val="00437FCC"/>
    <w:rsid w:val="0044492E"/>
    <w:rsid w:val="004464CC"/>
    <w:rsid w:val="004524A9"/>
    <w:rsid w:val="0045714C"/>
    <w:rsid w:val="00464F7F"/>
    <w:rsid w:val="0047232A"/>
    <w:rsid w:val="00482429"/>
    <w:rsid w:val="004A7FB1"/>
    <w:rsid w:val="004B1DA1"/>
    <w:rsid w:val="004B21AD"/>
    <w:rsid w:val="004B2391"/>
    <w:rsid w:val="004C477C"/>
    <w:rsid w:val="004C4DBE"/>
    <w:rsid w:val="004D0B32"/>
    <w:rsid w:val="004D39B9"/>
    <w:rsid w:val="004E6D26"/>
    <w:rsid w:val="004E79AD"/>
    <w:rsid w:val="004F600C"/>
    <w:rsid w:val="004F6923"/>
    <w:rsid w:val="004F79EF"/>
    <w:rsid w:val="00501ED9"/>
    <w:rsid w:val="0050311E"/>
    <w:rsid w:val="0053221F"/>
    <w:rsid w:val="00542850"/>
    <w:rsid w:val="00545C06"/>
    <w:rsid w:val="00550444"/>
    <w:rsid w:val="00555B48"/>
    <w:rsid w:val="00560073"/>
    <w:rsid w:val="00560890"/>
    <w:rsid w:val="0056092E"/>
    <w:rsid w:val="005666C5"/>
    <w:rsid w:val="00574754"/>
    <w:rsid w:val="00574CA6"/>
    <w:rsid w:val="0057799A"/>
    <w:rsid w:val="00595B36"/>
    <w:rsid w:val="00596000"/>
    <w:rsid w:val="005A0D2A"/>
    <w:rsid w:val="005A1A26"/>
    <w:rsid w:val="005A62C0"/>
    <w:rsid w:val="005B2454"/>
    <w:rsid w:val="005B505B"/>
    <w:rsid w:val="005B66F2"/>
    <w:rsid w:val="005B693E"/>
    <w:rsid w:val="005B72DE"/>
    <w:rsid w:val="005C46B7"/>
    <w:rsid w:val="005C5088"/>
    <w:rsid w:val="005C5467"/>
    <w:rsid w:val="005C686A"/>
    <w:rsid w:val="005D214A"/>
    <w:rsid w:val="005E1312"/>
    <w:rsid w:val="005E16D9"/>
    <w:rsid w:val="005E4BE3"/>
    <w:rsid w:val="005F558B"/>
    <w:rsid w:val="00600115"/>
    <w:rsid w:val="00601C48"/>
    <w:rsid w:val="006028C0"/>
    <w:rsid w:val="006048C4"/>
    <w:rsid w:val="0060586F"/>
    <w:rsid w:val="00606B3A"/>
    <w:rsid w:val="00620858"/>
    <w:rsid w:val="00626E86"/>
    <w:rsid w:val="00635E19"/>
    <w:rsid w:val="00637AE7"/>
    <w:rsid w:val="006407F1"/>
    <w:rsid w:val="00642610"/>
    <w:rsid w:val="00642FFE"/>
    <w:rsid w:val="00643A03"/>
    <w:rsid w:val="00645B9F"/>
    <w:rsid w:val="00654955"/>
    <w:rsid w:val="00661405"/>
    <w:rsid w:val="006616F9"/>
    <w:rsid w:val="0067351B"/>
    <w:rsid w:val="00676D0B"/>
    <w:rsid w:val="00686CAD"/>
    <w:rsid w:val="006904CD"/>
    <w:rsid w:val="006B5DA0"/>
    <w:rsid w:val="006C10C4"/>
    <w:rsid w:val="006C1DE5"/>
    <w:rsid w:val="006C264D"/>
    <w:rsid w:val="006C3558"/>
    <w:rsid w:val="006C70AB"/>
    <w:rsid w:val="006D51BA"/>
    <w:rsid w:val="006E2A7A"/>
    <w:rsid w:val="006E30AE"/>
    <w:rsid w:val="006E5344"/>
    <w:rsid w:val="006E5E25"/>
    <w:rsid w:val="006F499D"/>
    <w:rsid w:val="006F4C3A"/>
    <w:rsid w:val="00705709"/>
    <w:rsid w:val="00714B00"/>
    <w:rsid w:val="0071578C"/>
    <w:rsid w:val="00716DD0"/>
    <w:rsid w:val="00730B7D"/>
    <w:rsid w:val="00731085"/>
    <w:rsid w:val="007338BA"/>
    <w:rsid w:val="00744CBB"/>
    <w:rsid w:val="007465B8"/>
    <w:rsid w:val="007509F8"/>
    <w:rsid w:val="007557C9"/>
    <w:rsid w:val="0076312F"/>
    <w:rsid w:val="00765FD1"/>
    <w:rsid w:val="00775D8A"/>
    <w:rsid w:val="0077678C"/>
    <w:rsid w:val="00782853"/>
    <w:rsid w:val="00785DAA"/>
    <w:rsid w:val="00785FCC"/>
    <w:rsid w:val="00791E82"/>
    <w:rsid w:val="007935B8"/>
    <w:rsid w:val="007A2161"/>
    <w:rsid w:val="007B2573"/>
    <w:rsid w:val="007B7DC4"/>
    <w:rsid w:val="007C5A59"/>
    <w:rsid w:val="007C6A00"/>
    <w:rsid w:val="007D3BFA"/>
    <w:rsid w:val="007E3BDA"/>
    <w:rsid w:val="007F3C12"/>
    <w:rsid w:val="008008FF"/>
    <w:rsid w:val="008045C1"/>
    <w:rsid w:val="00806342"/>
    <w:rsid w:val="00817466"/>
    <w:rsid w:val="00825AEB"/>
    <w:rsid w:val="00826C2C"/>
    <w:rsid w:val="00830F4F"/>
    <w:rsid w:val="00835C22"/>
    <w:rsid w:val="008411B8"/>
    <w:rsid w:val="008444EB"/>
    <w:rsid w:val="00847740"/>
    <w:rsid w:val="00850ACE"/>
    <w:rsid w:val="00850B71"/>
    <w:rsid w:val="00854B79"/>
    <w:rsid w:val="008621BC"/>
    <w:rsid w:val="00864DA1"/>
    <w:rsid w:val="008661E3"/>
    <w:rsid w:val="00866DE7"/>
    <w:rsid w:val="0088618C"/>
    <w:rsid w:val="00897540"/>
    <w:rsid w:val="008A2FA9"/>
    <w:rsid w:val="008B2159"/>
    <w:rsid w:val="008B3FDF"/>
    <w:rsid w:val="008B6E5D"/>
    <w:rsid w:val="008C2A40"/>
    <w:rsid w:val="008C2DBC"/>
    <w:rsid w:val="008D1724"/>
    <w:rsid w:val="008D7115"/>
    <w:rsid w:val="008F1506"/>
    <w:rsid w:val="008F2184"/>
    <w:rsid w:val="008F501D"/>
    <w:rsid w:val="0090468A"/>
    <w:rsid w:val="00905F56"/>
    <w:rsid w:val="0090793C"/>
    <w:rsid w:val="009122FB"/>
    <w:rsid w:val="009163A1"/>
    <w:rsid w:val="00923F9E"/>
    <w:rsid w:val="009245FA"/>
    <w:rsid w:val="00924B73"/>
    <w:rsid w:val="00925873"/>
    <w:rsid w:val="0092639B"/>
    <w:rsid w:val="0092653D"/>
    <w:rsid w:val="00927AE0"/>
    <w:rsid w:val="00936942"/>
    <w:rsid w:val="009415BA"/>
    <w:rsid w:val="0094607E"/>
    <w:rsid w:val="00946D92"/>
    <w:rsid w:val="009517E1"/>
    <w:rsid w:val="00952681"/>
    <w:rsid w:val="009528B6"/>
    <w:rsid w:val="00954B13"/>
    <w:rsid w:val="0095766E"/>
    <w:rsid w:val="00957A33"/>
    <w:rsid w:val="00965E56"/>
    <w:rsid w:val="00966D80"/>
    <w:rsid w:val="009801D0"/>
    <w:rsid w:val="00983E0F"/>
    <w:rsid w:val="009849DB"/>
    <w:rsid w:val="009928CA"/>
    <w:rsid w:val="00997C07"/>
    <w:rsid w:val="009A0338"/>
    <w:rsid w:val="009A2580"/>
    <w:rsid w:val="009B1440"/>
    <w:rsid w:val="009B6391"/>
    <w:rsid w:val="009B6486"/>
    <w:rsid w:val="009C3CB3"/>
    <w:rsid w:val="009C4F6E"/>
    <w:rsid w:val="009C6261"/>
    <w:rsid w:val="009C74D8"/>
    <w:rsid w:val="009D3F0D"/>
    <w:rsid w:val="009D69D7"/>
    <w:rsid w:val="009D6C62"/>
    <w:rsid w:val="009E33E3"/>
    <w:rsid w:val="009F1F54"/>
    <w:rsid w:val="009F5B00"/>
    <w:rsid w:val="00A02943"/>
    <w:rsid w:val="00A137A2"/>
    <w:rsid w:val="00A160DD"/>
    <w:rsid w:val="00A175DF"/>
    <w:rsid w:val="00A22178"/>
    <w:rsid w:val="00A25EBC"/>
    <w:rsid w:val="00A32FE4"/>
    <w:rsid w:val="00A33AB5"/>
    <w:rsid w:val="00A36758"/>
    <w:rsid w:val="00A36CBE"/>
    <w:rsid w:val="00A37AA4"/>
    <w:rsid w:val="00A37C9C"/>
    <w:rsid w:val="00A40182"/>
    <w:rsid w:val="00A40FA6"/>
    <w:rsid w:val="00A54360"/>
    <w:rsid w:val="00A74929"/>
    <w:rsid w:val="00A80AC9"/>
    <w:rsid w:val="00A857E3"/>
    <w:rsid w:val="00AA1DFF"/>
    <w:rsid w:val="00AA20BB"/>
    <w:rsid w:val="00AA7663"/>
    <w:rsid w:val="00AB54B2"/>
    <w:rsid w:val="00AB5810"/>
    <w:rsid w:val="00AB729C"/>
    <w:rsid w:val="00AF3968"/>
    <w:rsid w:val="00AF3FC5"/>
    <w:rsid w:val="00AF4952"/>
    <w:rsid w:val="00AF6142"/>
    <w:rsid w:val="00B01801"/>
    <w:rsid w:val="00B064D9"/>
    <w:rsid w:val="00B20F5B"/>
    <w:rsid w:val="00B26B8F"/>
    <w:rsid w:val="00B37DB1"/>
    <w:rsid w:val="00B51197"/>
    <w:rsid w:val="00B5162B"/>
    <w:rsid w:val="00B5320B"/>
    <w:rsid w:val="00B5402D"/>
    <w:rsid w:val="00B54567"/>
    <w:rsid w:val="00B55D94"/>
    <w:rsid w:val="00B621BB"/>
    <w:rsid w:val="00B6309D"/>
    <w:rsid w:val="00B66622"/>
    <w:rsid w:val="00B67FAB"/>
    <w:rsid w:val="00B8659B"/>
    <w:rsid w:val="00B866FD"/>
    <w:rsid w:val="00B960E3"/>
    <w:rsid w:val="00B96297"/>
    <w:rsid w:val="00BA3667"/>
    <w:rsid w:val="00BA6BEB"/>
    <w:rsid w:val="00BB0780"/>
    <w:rsid w:val="00BB0A39"/>
    <w:rsid w:val="00BB3DA0"/>
    <w:rsid w:val="00BB4E32"/>
    <w:rsid w:val="00BC3CC0"/>
    <w:rsid w:val="00BC651C"/>
    <w:rsid w:val="00BC6E2B"/>
    <w:rsid w:val="00BD24F4"/>
    <w:rsid w:val="00BD4CF5"/>
    <w:rsid w:val="00BD616A"/>
    <w:rsid w:val="00BE3AFB"/>
    <w:rsid w:val="00BE59F0"/>
    <w:rsid w:val="00BE6319"/>
    <w:rsid w:val="00BE6CF0"/>
    <w:rsid w:val="00BF57C6"/>
    <w:rsid w:val="00C02D60"/>
    <w:rsid w:val="00C038EE"/>
    <w:rsid w:val="00C04845"/>
    <w:rsid w:val="00C053FE"/>
    <w:rsid w:val="00C14F81"/>
    <w:rsid w:val="00C1618D"/>
    <w:rsid w:val="00C22610"/>
    <w:rsid w:val="00C421B1"/>
    <w:rsid w:val="00C44BFD"/>
    <w:rsid w:val="00C461E8"/>
    <w:rsid w:val="00C46D77"/>
    <w:rsid w:val="00C47ED8"/>
    <w:rsid w:val="00C51D96"/>
    <w:rsid w:val="00C53CF7"/>
    <w:rsid w:val="00C55C68"/>
    <w:rsid w:val="00C601ED"/>
    <w:rsid w:val="00C61790"/>
    <w:rsid w:val="00C62A65"/>
    <w:rsid w:val="00C64C51"/>
    <w:rsid w:val="00C67ADF"/>
    <w:rsid w:val="00C80E2A"/>
    <w:rsid w:val="00C83685"/>
    <w:rsid w:val="00C839BB"/>
    <w:rsid w:val="00C87047"/>
    <w:rsid w:val="00C93416"/>
    <w:rsid w:val="00CA4CCA"/>
    <w:rsid w:val="00CB058A"/>
    <w:rsid w:val="00CB2DF5"/>
    <w:rsid w:val="00CB3153"/>
    <w:rsid w:val="00CC7808"/>
    <w:rsid w:val="00CD05BB"/>
    <w:rsid w:val="00CE1C8E"/>
    <w:rsid w:val="00CE3536"/>
    <w:rsid w:val="00CF15D6"/>
    <w:rsid w:val="00CF1C2B"/>
    <w:rsid w:val="00CF50F9"/>
    <w:rsid w:val="00D074AB"/>
    <w:rsid w:val="00D11FB0"/>
    <w:rsid w:val="00D1251A"/>
    <w:rsid w:val="00D165F8"/>
    <w:rsid w:val="00D212DD"/>
    <w:rsid w:val="00D255F7"/>
    <w:rsid w:val="00D33057"/>
    <w:rsid w:val="00D34B60"/>
    <w:rsid w:val="00D473DF"/>
    <w:rsid w:val="00D51046"/>
    <w:rsid w:val="00D54FDE"/>
    <w:rsid w:val="00D56622"/>
    <w:rsid w:val="00D60D72"/>
    <w:rsid w:val="00D62697"/>
    <w:rsid w:val="00D64CE5"/>
    <w:rsid w:val="00D66D66"/>
    <w:rsid w:val="00D70C80"/>
    <w:rsid w:val="00D75DA2"/>
    <w:rsid w:val="00D8491A"/>
    <w:rsid w:val="00D903A8"/>
    <w:rsid w:val="00D90A6E"/>
    <w:rsid w:val="00D91BF3"/>
    <w:rsid w:val="00D958CD"/>
    <w:rsid w:val="00D9642E"/>
    <w:rsid w:val="00D969BF"/>
    <w:rsid w:val="00DA7FFE"/>
    <w:rsid w:val="00DB06C7"/>
    <w:rsid w:val="00DB2D5C"/>
    <w:rsid w:val="00DB385E"/>
    <w:rsid w:val="00DB79D4"/>
    <w:rsid w:val="00DC10CB"/>
    <w:rsid w:val="00DD19EC"/>
    <w:rsid w:val="00DD2FB5"/>
    <w:rsid w:val="00DD79E9"/>
    <w:rsid w:val="00DE1C18"/>
    <w:rsid w:val="00DE5E57"/>
    <w:rsid w:val="00E02A74"/>
    <w:rsid w:val="00E04A2C"/>
    <w:rsid w:val="00E10776"/>
    <w:rsid w:val="00E24A1B"/>
    <w:rsid w:val="00E3476F"/>
    <w:rsid w:val="00E36F1B"/>
    <w:rsid w:val="00E41284"/>
    <w:rsid w:val="00E4313D"/>
    <w:rsid w:val="00E453EE"/>
    <w:rsid w:val="00E4590A"/>
    <w:rsid w:val="00E45D82"/>
    <w:rsid w:val="00E46EE0"/>
    <w:rsid w:val="00E51DEB"/>
    <w:rsid w:val="00E52316"/>
    <w:rsid w:val="00E81CC0"/>
    <w:rsid w:val="00E92F0D"/>
    <w:rsid w:val="00E93373"/>
    <w:rsid w:val="00E9787E"/>
    <w:rsid w:val="00EA4485"/>
    <w:rsid w:val="00EA64AF"/>
    <w:rsid w:val="00EB0775"/>
    <w:rsid w:val="00EB1354"/>
    <w:rsid w:val="00EB2667"/>
    <w:rsid w:val="00EB285F"/>
    <w:rsid w:val="00EB64A2"/>
    <w:rsid w:val="00EC52D5"/>
    <w:rsid w:val="00ED3B2D"/>
    <w:rsid w:val="00EE312B"/>
    <w:rsid w:val="00EE57F6"/>
    <w:rsid w:val="00EF0FE6"/>
    <w:rsid w:val="00EF18E5"/>
    <w:rsid w:val="00EF65A0"/>
    <w:rsid w:val="00EF7A2B"/>
    <w:rsid w:val="00F015A2"/>
    <w:rsid w:val="00F1069E"/>
    <w:rsid w:val="00F1183E"/>
    <w:rsid w:val="00F13BE4"/>
    <w:rsid w:val="00F16451"/>
    <w:rsid w:val="00F229CB"/>
    <w:rsid w:val="00F26C13"/>
    <w:rsid w:val="00F2751E"/>
    <w:rsid w:val="00F3494E"/>
    <w:rsid w:val="00F40591"/>
    <w:rsid w:val="00F47436"/>
    <w:rsid w:val="00F474D6"/>
    <w:rsid w:val="00F50615"/>
    <w:rsid w:val="00F51609"/>
    <w:rsid w:val="00F55D64"/>
    <w:rsid w:val="00F671A4"/>
    <w:rsid w:val="00F707C0"/>
    <w:rsid w:val="00F72125"/>
    <w:rsid w:val="00F73CAB"/>
    <w:rsid w:val="00F74D89"/>
    <w:rsid w:val="00F827D0"/>
    <w:rsid w:val="00F94B81"/>
    <w:rsid w:val="00FA0D55"/>
    <w:rsid w:val="00FA1AE5"/>
    <w:rsid w:val="00FA707A"/>
    <w:rsid w:val="00FB0297"/>
    <w:rsid w:val="00FB1A3F"/>
    <w:rsid w:val="00FB221D"/>
    <w:rsid w:val="00FB289B"/>
    <w:rsid w:val="00FB5189"/>
    <w:rsid w:val="00FB7C25"/>
    <w:rsid w:val="00FC501E"/>
    <w:rsid w:val="00FC782F"/>
    <w:rsid w:val="00FF3BF7"/>
    <w:rsid w:val="00FF7951"/>
    <w:rsid w:val="0D24DF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418B"/>
  <w15:chartTrackingRefBased/>
  <w15:docId w15:val="{5CEC9070-454D-4792-8F4B-9FC1F105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074"/>
    <w:pPr>
      <w:spacing w:after="0" w:line="240" w:lineRule="auto"/>
      <w:jc w:val="both"/>
    </w:pPr>
    <w:rPr>
      <w:rFonts w:ascii="Crimson Pro" w:hAnsi="Crimson Pro"/>
      <w:kern w:val="0"/>
      <w:szCs w:val="20"/>
      <w:lang w:val="et-EE"/>
    </w:rPr>
  </w:style>
  <w:style w:type="paragraph" w:styleId="Heading1">
    <w:name w:val="heading 1"/>
    <w:basedOn w:val="Normal"/>
    <w:next w:val="Normal"/>
    <w:link w:val="Heading1Char"/>
    <w:uiPriority w:val="9"/>
    <w:qFormat/>
    <w:rsid w:val="00411074"/>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411074"/>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411074"/>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411074"/>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Cs w:val="24"/>
    </w:rPr>
  </w:style>
  <w:style w:type="paragraph" w:styleId="Heading5">
    <w:name w:val="heading 5"/>
    <w:basedOn w:val="Normal"/>
    <w:next w:val="Normal"/>
    <w:link w:val="Heading5Char"/>
    <w:uiPriority w:val="9"/>
    <w:semiHidden/>
    <w:unhideWhenUsed/>
    <w:qFormat/>
    <w:rsid w:val="00411074"/>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Cs w:val="24"/>
    </w:rPr>
  </w:style>
  <w:style w:type="paragraph" w:styleId="Heading6">
    <w:name w:val="heading 6"/>
    <w:basedOn w:val="Normal"/>
    <w:next w:val="Normal"/>
    <w:link w:val="Heading6Char"/>
    <w:uiPriority w:val="9"/>
    <w:semiHidden/>
    <w:unhideWhenUsed/>
    <w:qFormat/>
    <w:rsid w:val="00411074"/>
    <w:pPr>
      <w:keepNext/>
      <w:keepLines/>
      <w:spacing w:before="40" w:line="278" w:lineRule="auto"/>
      <w:jc w:val="left"/>
      <w:outlineLvl w:val="5"/>
    </w:pPr>
    <w:rPr>
      <w:rFonts w:asciiTheme="minorHAnsi" w:eastAsiaTheme="majorEastAsia" w:hAnsiTheme="minorHAnsi" w:cstheme="majorBidi"/>
      <w:i/>
      <w:iCs/>
      <w:color w:val="595959" w:themeColor="text1" w:themeTint="A6"/>
      <w:kern w:val="2"/>
      <w:szCs w:val="24"/>
    </w:rPr>
  </w:style>
  <w:style w:type="paragraph" w:styleId="Heading7">
    <w:name w:val="heading 7"/>
    <w:basedOn w:val="Normal"/>
    <w:next w:val="Normal"/>
    <w:link w:val="Heading7Char"/>
    <w:uiPriority w:val="9"/>
    <w:semiHidden/>
    <w:unhideWhenUsed/>
    <w:qFormat/>
    <w:rsid w:val="00411074"/>
    <w:pPr>
      <w:keepNext/>
      <w:keepLines/>
      <w:spacing w:before="40" w:line="278" w:lineRule="auto"/>
      <w:jc w:val="left"/>
      <w:outlineLvl w:val="6"/>
    </w:pPr>
    <w:rPr>
      <w:rFonts w:asciiTheme="minorHAnsi" w:eastAsiaTheme="majorEastAsia" w:hAnsiTheme="minorHAnsi" w:cstheme="majorBidi"/>
      <w:color w:val="595959" w:themeColor="text1" w:themeTint="A6"/>
      <w:kern w:val="2"/>
      <w:szCs w:val="24"/>
    </w:rPr>
  </w:style>
  <w:style w:type="paragraph" w:styleId="Heading8">
    <w:name w:val="heading 8"/>
    <w:basedOn w:val="Normal"/>
    <w:next w:val="Normal"/>
    <w:link w:val="Heading8Char"/>
    <w:uiPriority w:val="9"/>
    <w:semiHidden/>
    <w:unhideWhenUsed/>
    <w:qFormat/>
    <w:rsid w:val="00411074"/>
    <w:pPr>
      <w:keepNext/>
      <w:keepLines/>
      <w:spacing w:line="278" w:lineRule="auto"/>
      <w:jc w:val="left"/>
      <w:outlineLvl w:val="7"/>
    </w:pPr>
    <w:rPr>
      <w:rFonts w:asciiTheme="minorHAnsi" w:eastAsiaTheme="majorEastAsia" w:hAnsiTheme="minorHAnsi" w:cstheme="majorBidi"/>
      <w:i/>
      <w:iCs/>
      <w:color w:val="272727" w:themeColor="text1" w:themeTint="D8"/>
      <w:kern w:val="2"/>
      <w:szCs w:val="24"/>
    </w:rPr>
  </w:style>
  <w:style w:type="paragraph" w:styleId="Heading9">
    <w:name w:val="heading 9"/>
    <w:basedOn w:val="Normal"/>
    <w:next w:val="Normal"/>
    <w:link w:val="Heading9Char"/>
    <w:uiPriority w:val="9"/>
    <w:semiHidden/>
    <w:unhideWhenUsed/>
    <w:qFormat/>
    <w:rsid w:val="00411074"/>
    <w:pPr>
      <w:keepNext/>
      <w:keepLines/>
      <w:spacing w:line="278" w:lineRule="auto"/>
      <w:jc w:val="left"/>
      <w:outlineLvl w:val="8"/>
    </w:pPr>
    <w:rPr>
      <w:rFonts w:asciiTheme="minorHAnsi" w:eastAsiaTheme="majorEastAsia" w:hAnsiTheme="minorHAnsi" w:cstheme="majorBidi"/>
      <w:color w:val="272727" w:themeColor="text1" w:themeTint="D8"/>
      <w:kern w:val="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074"/>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411074"/>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411074"/>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411074"/>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411074"/>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411074"/>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411074"/>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411074"/>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411074"/>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411074"/>
    <w:pPr>
      <w:spacing w:after="8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074"/>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411074"/>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411074"/>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411074"/>
    <w:pPr>
      <w:spacing w:before="160" w:after="160" w:line="278" w:lineRule="auto"/>
      <w:jc w:val="center"/>
    </w:pPr>
    <w:rPr>
      <w:rFonts w:asciiTheme="minorHAnsi" w:hAnsiTheme="minorHAnsi"/>
      <w:i/>
      <w:iCs/>
      <w:color w:val="404040" w:themeColor="text1" w:themeTint="BF"/>
      <w:kern w:val="2"/>
      <w:szCs w:val="24"/>
    </w:rPr>
  </w:style>
  <w:style w:type="character" w:customStyle="1" w:styleId="QuoteChar">
    <w:name w:val="Quote Char"/>
    <w:basedOn w:val="DefaultParagraphFont"/>
    <w:link w:val="Quote"/>
    <w:uiPriority w:val="29"/>
    <w:rsid w:val="00411074"/>
    <w:rPr>
      <w:i/>
      <w:iCs/>
      <w:color w:val="404040" w:themeColor="text1" w:themeTint="BF"/>
      <w:lang w:val="et-EE"/>
    </w:rPr>
  </w:style>
  <w:style w:type="paragraph" w:styleId="ListParagraph">
    <w:name w:val="List Paragraph"/>
    <w:basedOn w:val="Normal"/>
    <w:uiPriority w:val="34"/>
    <w:qFormat/>
    <w:rsid w:val="00411074"/>
    <w:pPr>
      <w:spacing w:after="160" w:line="278" w:lineRule="auto"/>
      <w:ind w:left="720"/>
      <w:contextualSpacing/>
      <w:jc w:val="left"/>
    </w:pPr>
    <w:rPr>
      <w:rFonts w:asciiTheme="minorHAnsi" w:hAnsiTheme="minorHAnsi"/>
      <w:kern w:val="2"/>
      <w:szCs w:val="24"/>
    </w:rPr>
  </w:style>
  <w:style w:type="character" w:styleId="IntenseEmphasis">
    <w:name w:val="Intense Emphasis"/>
    <w:basedOn w:val="DefaultParagraphFont"/>
    <w:uiPriority w:val="21"/>
    <w:qFormat/>
    <w:rsid w:val="00411074"/>
    <w:rPr>
      <w:i/>
      <w:iCs/>
      <w:color w:val="0F4761" w:themeColor="accent1" w:themeShade="BF"/>
    </w:rPr>
  </w:style>
  <w:style w:type="paragraph" w:styleId="IntenseQuote">
    <w:name w:val="Intense Quote"/>
    <w:basedOn w:val="Normal"/>
    <w:next w:val="Normal"/>
    <w:link w:val="IntenseQuoteChar"/>
    <w:uiPriority w:val="30"/>
    <w:qFormat/>
    <w:rsid w:val="0041107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Cs w:val="24"/>
    </w:rPr>
  </w:style>
  <w:style w:type="character" w:customStyle="1" w:styleId="IntenseQuoteChar">
    <w:name w:val="Intense Quote Char"/>
    <w:basedOn w:val="DefaultParagraphFont"/>
    <w:link w:val="IntenseQuote"/>
    <w:uiPriority w:val="30"/>
    <w:rsid w:val="00411074"/>
    <w:rPr>
      <w:i/>
      <w:iCs/>
      <w:color w:val="0F4761" w:themeColor="accent1" w:themeShade="BF"/>
      <w:lang w:val="et-EE"/>
    </w:rPr>
  </w:style>
  <w:style w:type="character" w:styleId="IntenseReference">
    <w:name w:val="Intense Reference"/>
    <w:basedOn w:val="DefaultParagraphFont"/>
    <w:uiPriority w:val="32"/>
    <w:qFormat/>
    <w:rsid w:val="00411074"/>
    <w:rPr>
      <w:b/>
      <w:bCs/>
      <w:smallCaps/>
      <w:color w:val="0F4761" w:themeColor="accent1" w:themeShade="BF"/>
      <w:spacing w:val="5"/>
    </w:rPr>
  </w:style>
  <w:style w:type="paragraph" w:styleId="BodyText">
    <w:name w:val="Body Text"/>
    <w:basedOn w:val="Normal"/>
    <w:link w:val="BodyTextChar"/>
    <w:uiPriority w:val="99"/>
    <w:unhideWhenUsed/>
    <w:qFormat/>
    <w:rsid w:val="00411074"/>
    <w:pPr>
      <w:spacing w:after="120"/>
    </w:pPr>
  </w:style>
  <w:style w:type="character" w:customStyle="1" w:styleId="BodyTextChar">
    <w:name w:val="Body Text Char"/>
    <w:basedOn w:val="DefaultParagraphFont"/>
    <w:link w:val="BodyText"/>
    <w:uiPriority w:val="99"/>
    <w:rsid w:val="00411074"/>
    <w:rPr>
      <w:rFonts w:ascii="Crimson Pro" w:hAnsi="Crimson Pro"/>
      <w:kern w:val="0"/>
      <w:szCs w:val="20"/>
      <w:lang w:val="et-EE"/>
    </w:rPr>
  </w:style>
  <w:style w:type="paragraph" w:styleId="FootnoteText">
    <w:name w:val="footnote text"/>
    <w:basedOn w:val="Normal"/>
    <w:link w:val="FootnoteTextChar"/>
    <w:uiPriority w:val="99"/>
    <w:unhideWhenUsed/>
    <w:qFormat/>
    <w:rsid w:val="00411074"/>
    <w:pPr>
      <w:spacing w:before="40" w:line="264" w:lineRule="auto"/>
    </w:pPr>
    <w:rPr>
      <w:sz w:val="20"/>
    </w:rPr>
  </w:style>
  <w:style w:type="character" w:customStyle="1" w:styleId="FootnoteTextChar">
    <w:name w:val="Footnote Text Char"/>
    <w:basedOn w:val="DefaultParagraphFont"/>
    <w:link w:val="FootnoteText"/>
    <w:uiPriority w:val="99"/>
    <w:qFormat/>
    <w:rsid w:val="00411074"/>
    <w:rPr>
      <w:rFonts w:ascii="Crimson Pro" w:hAnsi="Crimson Pro"/>
      <w:kern w:val="0"/>
      <w:sz w:val="20"/>
      <w:szCs w:val="20"/>
      <w:lang w:val="et-EE"/>
    </w:rPr>
  </w:style>
  <w:style w:type="character" w:styleId="FootnoteReference">
    <w:name w:val="footnote reference"/>
    <w:aliases w:val="SUPERS,Footnote reference number,Footnote symbol,note TESI,-E Fußnotenzeichen,number,Footnote number,Footnote Reference Superscript,Footnote reference superscritp,BVI fnr,stylish,Ref,de nota al pie,Footnote Refernece,E,fr"/>
    <w:basedOn w:val="DefaultParagraphFont"/>
    <w:uiPriority w:val="99"/>
    <w:rsid w:val="00411074"/>
    <w:rPr>
      <w:rFonts w:ascii="Crimson Pro" w:hAnsi="Crimson Pro"/>
      <w:sz w:val="22"/>
      <w:vertAlign w:val="superscript"/>
    </w:rPr>
  </w:style>
  <w:style w:type="table" w:customStyle="1" w:styleId="TabelPunane">
    <w:name w:val="Tabel_Punane"/>
    <w:basedOn w:val="TableNormal"/>
    <w:uiPriority w:val="99"/>
    <w:qFormat/>
    <w:rsid w:val="00411074"/>
    <w:pPr>
      <w:spacing w:after="0" w:line="240" w:lineRule="auto"/>
    </w:pPr>
    <w:rPr>
      <w:rFonts w:ascii="Crimson Pro" w:eastAsiaTheme="minorEastAsia" w:hAnsi="Crimson Pro"/>
      <w:kern w:val="0"/>
      <w:szCs w:val="20"/>
      <w14:ligatures w14:val="none"/>
    </w:rPr>
    <w:tblPr>
      <w:tblStyleRowBandSize w:val="1"/>
      <w:tblStyleColBandSize w:val="1"/>
      <w:tblBorders>
        <w:insideH w:val="single" w:sz="2" w:space="0" w:color="A6A6A6" w:themeColor="background1" w:themeShade="A6"/>
        <w:insideV w:val="single" w:sz="2" w:space="0" w:color="A6A6A6" w:themeColor="background1" w:themeShade="A6"/>
      </w:tblBorders>
      <w:tblCellMar>
        <w:top w:w="28" w:type="dxa"/>
        <w:left w:w="28" w:type="dxa"/>
        <w:bottom w:w="28" w:type="dxa"/>
        <w:right w:w="28" w:type="dxa"/>
      </w:tblCellMar>
    </w:tblPr>
    <w:tcPr>
      <w:shd w:val="clear" w:color="auto" w:fill="auto"/>
      <w:tcMar>
        <w:left w:w="113" w:type="dxa"/>
        <w:right w:w="113" w:type="dxa"/>
      </w:tcMar>
    </w:tcPr>
    <w:tblStylePr w:type="firstRow">
      <w:pPr>
        <w:wordWrap/>
        <w:spacing w:beforeLines="40" w:before="40" w:beforeAutospacing="0" w:afterLines="40" w:after="40" w:afterAutospacing="0" w:line="240" w:lineRule="auto"/>
        <w:jc w:val="left"/>
      </w:pPr>
      <w:rPr>
        <w:rFonts w:ascii="Crimson Pro" w:hAnsi="Crimson Pro"/>
        <w:b/>
        <w:bCs/>
        <w:color w:val="FFFFFF" w:themeColor="background1"/>
        <w:sz w:val="28"/>
      </w:rPr>
      <w:tblPr/>
      <w:tcPr>
        <w:shd w:val="clear" w:color="auto" w:fill="C00000"/>
      </w:tcPr>
    </w:tblStylePr>
    <w:tblStylePr w:type="lastRow">
      <w:pPr>
        <w:spacing w:before="0" w:after="0" w:line="240" w:lineRule="auto"/>
      </w:pPr>
      <w:rPr>
        <w:b w:val="0"/>
        <w:bCs/>
      </w:rPr>
      <w:tblPr/>
      <w:tcPr>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cBorders>
        <w:shd w:val="clear" w:color="auto" w:fill="auto"/>
      </w:tcPr>
    </w:tblStylePr>
    <w:tblStylePr w:type="firstCol">
      <w:rPr>
        <w:b w:val="0"/>
        <w:bCs/>
      </w:rPr>
      <w:tblPr/>
      <w:tcPr>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cBorders>
        <w:shd w:val="clear" w:color="auto" w:fill="auto"/>
      </w:tcPr>
    </w:tblStylePr>
    <w:tblStylePr w:type="lastCol">
      <w:rPr>
        <w:b w:val="0"/>
        <w:bCs/>
      </w:rPr>
      <w:tblPr/>
      <w:tcPr>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cBorders>
        <w:shd w:val="clear" w:color="auto" w:fill="auto"/>
      </w:tcPr>
    </w:tblStylePr>
    <w:tblStylePr w:type="band1Vert">
      <w:tblPr/>
      <w:tcPr>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cBorders>
        <w:shd w:val="clear" w:color="auto" w:fill="auto"/>
      </w:tcPr>
    </w:tblStylePr>
    <w:tblStylePr w:type="band2Vert">
      <w:tblPr/>
      <w:tcPr>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cBorders>
        <w:shd w:val="clear" w:color="auto" w:fill="auto"/>
      </w:tcPr>
    </w:tblStylePr>
    <w:tblStylePr w:type="band1Horz">
      <w:tblPr/>
      <w:tcPr>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cBorders>
        <w:shd w:val="clear" w:color="auto" w:fill="auto"/>
      </w:tcPr>
    </w:tblStylePr>
    <w:tblStylePr w:type="band2Horz">
      <w:tblPr/>
      <w:tcPr>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cBorders>
        <w:shd w:val="clear" w:color="auto" w:fill="auto"/>
      </w:tcPr>
    </w:tblStylePr>
  </w:style>
  <w:style w:type="character" w:styleId="CommentReference">
    <w:name w:val="annotation reference"/>
    <w:basedOn w:val="DefaultParagraphFont"/>
    <w:uiPriority w:val="99"/>
    <w:semiHidden/>
    <w:unhideWhenUsed/>
    <w:rsid w:val="00AA1DFF"/>
    <w:rPr>
      <w:sz w:val="16"/>
      <w:szCs w:val="16"/>
    </w:rPr>
  </w:style>
  <w:style w:type="paragraph" w:styleId="CommentText">
    <w:name w:val="annotation text"/>
    <w:basedOn w:val="Normal"/>
    <w:link w:val="CommentTextChar"/>
    <w:uiPriority w:val="99"/>
    <w:unhideWhenUsed/>
    <w:rsid w:val="00AA1DFF"/>
    <w:rPr>
      <w:sz w:val="20"/>
    </w:rPr>
  </w:style>
  <w:style w:type="character" w:customStyle="1" w:styleId="CommentTextChar">
    <w:name w:val="Comment Text Char"/>
    <w:basedOn w:val="DefaultParagraphFont"/>
    <w:link w:val="CommentText"/>
    <w:uiPriority w:val="99"/>
    <w:rsid w:val="00AA1DFF"/>
    <w:rPr>
      <w:rFonts w:ascii="Crimson Pro" w:hAnsi="Crimson Pro"/>
      <w:kern w:val="0"/>
      <w:sz w:val="20"/>
      <w:szCs w:val="20"/>
      <w:lang w:val="et-EE"/>
    </w:rPr>
  </w:style>
  <w:style w:type="paragraph" w:styleId="CommentSubject">
    <w:name w:val="annotation subject"/>
    <w:basedOn w:val="CommentText"/>
    <w:next w:val="CommentText"/>
    <w:link w:val="CommentSubjectChar"/>
    <w:uiPriority w:val="99"/>
    <w:semiHidden/>
    <w:unhideWhenUsed/>
    <w:rsid w:val="00AA1DFF"/>
    <w:rPr>
      <w:b/>
      <w:bCs/>
    </w:rPr>
  </w:style>
  <w:style w:type="character" w:customStyle="1" w:styleId="CommentSubjectChar">
    <w:name w:val="Comment Subject Char"/>
    <w:basedOn w:val="CommentTextChar"/>
    <w:link w:val="CommentSubject"/>
    <w:uiPriority w:val="99"/>
    <w:semiHidden/>
    <w:rsid w:val="00AA1DFF"/>
    <w:rPr>
      <w:rFonts w:ascii="Crimson Pro" w:hAnsi="Crimson Pro"/>
      <w:b/>
      <w:bCs/>
      <w:kern w:val="0"/>
      <w:sz w:val="20"/>
      <w:szCs w:val="20"/>
      <w:lang w:val="et-EE"/>
    </w:rPr>
  </w:style>
  <w:style w:type="paragraph" w:styleId="Header">
    <w:name w:val="header"/>
    <w:basedOn w:val="Normal"/>
    <w:link w:val="HeaderChar"/>
    <w:uiPriority w:val="99"/>
    <w:semiHidden/>
    <w:unhideWhenUsed/>
    <w:pPr>
      <w:tabs>
        <w:tab w:val="center" w:pos="4513"/>
        <w:tab w:val="right" w:pos="9026"/>
      </w:tabs>
    </w:pPr>
  </w:style>
  <w:style w:type="character" w:customStyle="1" w:styleId="HeaderChar">
    <w:name w:val="Header Char"/>
    <w:basedOn w:val="DefaultParagraphFont"/>
    <w:link w:val="Header"/>
    <w:uiPriority w:val="99"/>
    <w:semiHidden/>
    <w:rPr>
      <w:rFonts w:ascii="Crimson Pro" w:hAnsi="Crimson Pro"/>
      <w:kern w:val="0"/>
      <w:szCs w:val="20"/>
      <w:lang w:val="et-EE"/>
    </w:rPr>
  </w:style>
  <w:style w:type="paragraph" w:styleId="Footer">
    <w:name w:val="footer"/>
    <w:basedOn w:val="Normal"/>
    <w:link w:val="FooterChar"/>
    <w:uiPriority w:val="99"/>
    <w:semiHidden/>
    <w:unhideWhenUsed/>
    <w:pPr>
      <w:tabs>
        <w:tab w:val="center" w:pos="4513"/>
        <w:tab w:val="right" w:pos="9026"/>
      </w:tabs>
    </w:pPr>
  </w:style>
  <w:style w:type="character" w:customStyle="1" w:styleId="FooterChar">
    <w:name w:val="Footer Char"/>
    <w:basedOn w:val="DefaultParagraphFont"/>
    <w:link w:val="Footer"/>
    <w:uiPriority w:val="99"/>
    <w:semiHidden/>
    <w:rPr>
      <w:rFonts w:ascii="Crimson Pro" w:hAnsi="Crimson Pro"/>
      <w:kern w:val="0"/>
      <w:szCs w:val="20"/>
      <w:lang w:val="et-EE"/>
    </w:rPr>
  </w:style>
  <w:style w:type="character" w:styleId="Hyperlink">
    <w:name w:val="Hyperlink"/>
    <w:basedOn w:val="DefaultParagraphFont"/>
    <w:uiPriority w:val="99"/>
    <w:unhideWhenUsed/>
    <w:rsid w:val="000A5D67"/>
    <w:rPr>
      <w:color w:val="467886" w:themeColor="hyperlink"/>
      <w:u w:val="single"/>
    </w:rPr>
  </w:style>
  <w:style w:type="character" w:styleId="UnresolvedMention">
    <w:name w:val="Unresolved Mention"/>
    <w:basedOn w:val="DefaultParagraphFont"/>
    <w:uiPriority w:val="99"/>
    <w:semiHidden/>
    <w:unhideWhenUsed/>
    <w:rsid w:val="000A5D67"/>
    <w:rPr>
      <w:color w:val="605E5C"/>
      <w:shd w:val="clear" w:color="auto" w:fill="E1DFDD"/>
    </w:rPr>
  </w:style>
  <w:style w:type="paragraph" w:styleId="Revision">
    <w:name w:val="Revision"/>
    <w:hidden/>
    <w:uiPriority w:val="99"/>
    <w:semiHidden/>
    <w:rsid w:val="0060586F"/>
    <w:pPr>
      <w:spacing w:after="0" w:line="240" w:lineRule="auto"/>
    </w:pPr>
    <w:rPr>
      <w:rFonts w:ascii="Crimson Pro" w:hAnsi="Crimson Pro"/>
      <w:kern w:val="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93159">
      <w:bodyDiv w:val="1"/>
      <w:marLeft w:val="0"/>
      <w:marRight w:val="0"/>
      <w:marTop w:val="0"/>
      <w:marBottom w:val="0"/>
      <w:divBdr>
        <w:top w:val="none" w:sz="0" w:space="0" w:color="auto"/>
        <w:left w:val="none" w:sz="0" w:space="0" w:color="auto"/>
        <w:bottom w:val="none" w:sz="0" w:space="0" w:color="auto"/>
        <w:right w:val="none" w:sz="0" w:space="0" w:color="auto"/>
      </w:divBdr>
    </w:div>
    <w:div w:id="270288477">
      <w:bodyDiv w:val="1"/>
      <w:marLeft w:val="0"/>
      <w:marRight w:val="0"/>
      <w:marTop w:val="0"/>
      <w:marBottom w:val="0"/>
      <w:divBdr>
        <w:top w:val="none" w:sz="0" w:space="0" w:color="auto"/>
        <w:left w:val="none" w:sz="0" w:space="0" w:color="auto"/>
        <w:bottom w:val="none" w:sz="0" w:space="0" w:color="auto"/>
        <w:right w:val="none" w:sz="0" w:space="0" w:color="auto"/>
      </w:divBdr>
    </w:div>
    <w:div w:id="305551857">
      <w:bodyDiv w:val="1"/>
      <w:marLeft w:val="0"/>
      <w:marRight w:val="0"/>
      <w:marTop w:val="0"/>
      <w:marBottom w:val="0"/>
      <w:divBdr>
        <w:top w:val="none" w:sz="0" w:space="0" w:color="auto"/>
        <w:left w:val="none" w:sz="0" w:space="0" w:color="auto"/>
        <w:bottom w:val="none" w:sz="0" w:space="0" w:color="auto"/>
        <w:right w:val="none" w:sz="0" w:space="0" w:color="auto"/>
      </w:divBdr>
    </w:div>
    <w:div w:id="307127950">
      <w:bodyDiv w:val="1"/>
      <w:marLeft w:val="0"/>
      <w:marRight w:val="0"/>
      <w:marTop w:val="0"/>
      <w:marBottom w:val="0"/>
      <w:divBdr>
        <w:top w:val="none" w:sz="0" w:space="0" w:color="auto"/>
        <w:left w:val="none" w:sz="0" w:space="0" w:color="auto"/>
        <w:bottom w:val="none" w:sz="0" w:space="0" w:color="auto"/>
        <w:right w:val="none" w:sz="0" w:space="0" w:color="auto"/>
      </w:divBdr>
    </w:div>
    <w:div w:id="363291652">
      <w:bodyDiv w:val="1"/>
      <w:marLeft w:val="0"/>
      <w:marRight w:val="0"/>
      <w:marTop w:val="0"/>
      <w:marBottom w:val="0"/>
      <w:divBdr>
        <w:top w:val="none" w:sz="0" w:space="0" w:color="auto"/>
        <w:left w:val="none" w:sz="0" w:space="0" w:color="auto"/>
        <w:bottom w:val="none" w:sz="0" w:space="0" w:color="auto"/>
        <w:right w:val="none" w:sz="0" w:space="0" w:color="auto"/>
      </w:divBdr>
    </w:div>
    <w:div w:id="1490630183">
      <w:bodyDiv w:val="1"/>
      <w:marLeft w:val="0"/>
      <w:marRight w:val="0"/>
      <w:marTop w:val="0"/>
      <w:marBottom w:val="0"/>
      <w:divBdr>
        <w:top w:val="none" w:sz="0" w:space="0" w:color="auto"/>
        <w:left w:val="none" w:sz="0" w:space="0" w:color="auto"/>
        <w:bottom w:val="none" w:sz="0" w:space="0" w:color="auto"/>
        <w:right w:val="none" w:sz="0" w:space="0" w:color="auto"/>
      </w:divBdr>
    </w:div>
    <w:div w:id="1684824226">
      <w:bodyDiv w:val="1"/>
      <w:marLeft w:val="0"/>
      <w:marRight w:val="0"/>
      <w:marTop w:val="0"/>
      <w:marBottom w:val="0"/>
      <w:divBdr>
        <w:top w:val="none" w:sz="0" w:space="0" w:color="auto"/>
        <w:left w:val="none" w:sz="0" w:space="0" w:color="auto"/>
        <w:bottom w:val="none" w:sz="0" w:space="0" w:color="auto"/>
        <w:right w:val="none" w:sz="0" w:space="0" w:color="auto"/>
      </w:divBdr>
    </w:div>
    <w:div w:id="1949461860">
      <w:bodyDiv w:val="1"/>
      <w:marLeft w:val="0"/>
      <w:marRight w:val="0"/>
      <w:marTop w:val="0"/>
      <w:marBottom w:val="0"/>
      <w:divBdr>
        <w:top w:val="none" w:sz="0" w:space="0" w:color="auto"/>
        <w:left w:val="none" w:sz="0" w:space="0" w:color="auto"/>
        <w:bottom w:val="none" w:sz="0" w:space="0" w:color="auto"/>
        <w:right w:val="none" w:sz="0" w:space="0" w:color="auto"/>
      </w:divBdr>
    </w:div>
    <w:div w:id="1976637854">
      <w:bodyDiv w:val="1"/>
      <w:marLeft w:val="0"/>
      <w:marRight w:val="0"/>
      <w:marTop w:val="0"/>
      <w:marBottom w:val="0"/>
      <w:divBdr>
        <w:top w:val="none" w:sz="0" w:space="0" w:color="auto"/>
        <w:left w:val="none" w:sz="0" w:space="0" w:color="auto"/>
        <w:bottom w:val="none" w:sz="0" w:space="0" w:color="auto"/>
        <w:right w:val="none" w:sz="0" w:space="0" w:color="auto"/>
      </w:divBdr>
    </w:div>
    <w:div w:id="2065250619">
      <w:bodyDiv w:val="1"/>
      <w:marLeft w:val="0"/>
      <w:marRight w:val="0"/>
      <w:marTop w:val="0"/>
      <w:marBottom w:val="0"/>
      <w:divBdr>
        <w:top w:val="none" w:sz="0" w:space="0" w:color="auto"/>
        <w:left w:val="none" w:sz="0" w:space="0" w:color="auto"/>
        <w:bottom w:val="none" w:sz="0" w:space="0" w:color="auto"/>
        <w:right w:val="none" w:sz="0" w:space="0" w:color="auto"/>
      </w:divBdr>
    </w:div>
    <w:div w:id="2083796531">
      <w:bodyDiv w:val="1"/>
      <w:marLeft w:val="0"/>
      <w:marRight w:val="0"/>
      <w:marTop w:val="0"/>
      <w:marBottom w:val="0"/>
      <w:divBdr>
        <w:top w:val="none" w:sz="0" w:space="0" w:color="auto"/>
        <w:left w:val="none" w:sz="0" w:space="0" w:color="auto"/>
        <w:bottom w:val="none" w:sz="0" w:space="0" w:color="auto"/>
        <w:right w:val="none" w:sz="0" w:space="0" w:color="auto"/>
      </w:divBdr>
    </w:div>
    <w:div w:id="212041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skkonnaportaal.ee/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755ca5-a755-4bae-b049-3aa503d463a5" xsi:nil="true"/>
    <lcf76f155ced4ddcb4097134ff3c332f xmlns="b10a479c-c75b-40f5-85a9-fd9a21cc494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B5B283AA909F4BBA5FD033538DD962" ma:contentTypeVersion="20" ma:contentTypeDescription="Loo uus dokument" ma:contentTypeScope="" ma:versionID="6d12325da7437cc7735470efe445ddf3">
  <xsd:schema xmlns:xsd="http://www.w3.org/2001/XMLSchema" xmlns:xs="http://www.w3.org/2001/XMLSchema" xmlns:p="http://schemas.microsoft.com/office/2006/metadata/properties" xmlns:ns1="http://schemas.microsoft.com/sharepoint/v3" xmlns:ns2="b10a479c-c75b-40f5-85a9-fd9a21cc4949" xmlns:ns3="64755ca5-a755-4bae-b049-3aa503d463a5" targetNamespace="http://schemas.microsoft.com/office/2006/metadata/properties" ma:root="true" ma:fieldsID="41e04a3177ee9864a81129b279a783a7" ns1:_="" ns2:_="" ns3:_="">
    <xsd:import namespace="http://schemas.microsoft.com/sharepoint/v3"/>
    <xsd:import namespace="b10a479c-c75b-40f5-85a9-fd9a21cc4949"/>
    <xsd:import namespace="64755ca5-a755-4bae-b049-3aa503d463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Ühtse nõuetele vastavuse poliitika atribuudid" ma:hidden="true" ma:internalName="_ip_UnifiedCompliancePolicyProperties">
      <xsd:simpleType>
        <xsd:restriction base="dms:Note"/>
      </xsd:simpleType>
    </xsd:element>
    <xsd:element name="_ip_UnifiedCompliancePolicyUIAction" ma:index="2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a479c-c75b-40f5-85a9-fd9a21cc4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755ca5-a755-4bae-b049-3aa503d463a5"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2b897128-d844-46d4-a833-2335721616a1}" ma:internalName="TaxCatchAll" ma:showField="CatchAllData" ma:web="64755ca5-a755-4bae-b049-3aa503d46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B9D3B-3359-4C51-B985-FCA90609F842}">
  <ds:schemaRefs>
    <ds:schemaRef ds:uri="http://schemas.microsoft.com/office/2006/metadata/properties"/>
    <ds:schemaRef ds:uri="http://schemas.microsoft.com/office/infopath/2007/PartnerControls"/>
    <ds:schemaRef ds:uri="64755ca5-a755-4bae-b049-3aa503d463a5"/>
    <ds:schemaRef ds:uri="b10a479c-c75b-40f5-85a9-fd9a21cc4949"/>
    <ds:schemaRef ds:uri="http://schemas.microsoft.com/sharepoint/v3"/>
  </ds:schemaRefs>
</ds:datastoreItem>
</file>

<file path=customXml/itemProps2.xml><?xml version="1.0" encoding="utf-8"?>
<ds:datastoreItem xmlns:ds="http://schemas.openxmlformats.org/officeDocument/2006/customXml" ds:itemID="{B6A83C68-30EB-4D82-9BB5-EA8EAED5EFD2}">
  <ds:schemaRefs>
    <ds:schemaRef ds:uri="http://schemas.microsoft.com/sharepoint/v3/contenttype/forms"/>
  </ds:schemaRefs>
</ds:datastoreItem>
</file>

<file path=customXml/itemProps3.xml><?xml version="1.0" encoding="utf-8"?>
<ds:datastoreItem xmlns:ds="http://schemas.openxmlformats.org/officeDocument/2006/customXml" ds:itemID="{F4D95EA4-9C0F-4296-97BB-6C97780B2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0a479c-c75b-40f5-85a9-fd9a21cc4949"/>
    <ds:schemaRef ds:uri="64755ca5-a755-4bae-b049-3aa503d46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2A5662-04E8-448B-BCB5-2C8BEB61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3039</Words>
  <Characters>17630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Juhan Ruut</dc:creator>
  <cp:keywords/>
  <dc:description/>
  <cp:lastModifiedBy>Inna Mihhailova</cp:lastModifiedBy>
  <cp:revision>16</cp:revision>
  <dcterms:created xsi:type="dcterms:W3CDTF">2025-03-11T08:56:00Z</dcterms:created>
  <dcterms:modified xsi:type="dcterms:W3CDTF">2025-03-11T09:57:00Z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0x0101008FB5B283AA909F4BBA5FD033538DD962</vt:lpwstr>
  </property>
  <property fmtid="{D5CDD505-2E9C-101B-9397-08002B2CF9AE}" pid="3" name="MediaServiceImageTags">
    <vt:lpwstr/>
  </property>
</Properties>
</file>